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D9ABF">
      <w:pPr>
        <w:spacing w:line="360" w:lineRule="auto"/>
        <w:ind w:right="36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7"/>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091EBD0D">
      <w:pPr>
        <w:spacing w:line="360" w:lineRule="auto"/>
        <w:ind w:right="360" w:firstLine="480" w:firstLineChars="200"/>
        <w:jc w:val="left"/>
        <w:rPr>
          <w:rFonts w:ascii="宋体" w:hAnsi="宋体" w:cs="宋体"/>
          <w:sz w:val="24"/>
          <w:szCs w:val="24"/>
        </w:rPr>
      </w:pPr>
    </w:p>
    <w:p w14:paraId="55BEDE45">
      <w:pPr>
        <w:spacing w:line="360" w:lineRule="auto"/>
        <w:ind w:firstLine="480"/>
      </w:pPr>
    </w:p>
    <w:p w14:paraId="5B7E2968">
      <w:pPr>
        <w:spacing w:line="360" w:lineRule="auto"/>
        <w:ind w:firstLine="880"/>
        <w:rPr>
          <w:rFonts w:ascii="楷体_GB2312" w:hAnsi="宋体" w:eastAsia="楷体_GB2312"/>
          <w:sz w:val="44"/>
          <w:szCs w:val="44"/>
        </w:rPr>
      </w:pPr>
    </w:p>
    <w:p w14:paraId="60862273">
      <w:pPr>
        <w:spacing w:line="360" w:lineRule="auto"/>
        <w:jc w:val="center"/>
      </w:pPr>
    </w:p>
    <w:p w14:paraId="24C343CC">
      <w:pPr>
        <w:spacing w:line="360" w:lineRule="auto"/>
        <w:jc w:val="center"/>
        <w:rPr>
          <w:rFonts w:hint="eastAsia"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14:paraId="09C11DE0">
      <w:pPr>
        <w:spacing w:line="360" w:lineRule="auto"/>
        <w:jc w:val="center"/>
        <w:rPr>
          <w:rFonts w:ascii="楷体_GB2312" w:hAnsi="宋体" w:eastAsia="楷体_GB2312"/>
          <w:b/>
          <w:bCs/>
          <w:sz w:val="44"/>
          <w:szCs w:val="44"/>
          <w:u w:val="single"/>
        </w:rPr>
      </w:pPr>
      <w:r>
        <w:rPr>
          <w:rFonts w:hint="eastAsia" w:ascii="楷体_GB2312" w:hAnsi="宋体" w:eastAsia="楷体_GB2312"/>
          <w:b/>
          <w:bCs/>
          <w:sz w:val="44"/>
          <w:szCs w:val="44"/>
          <w:u w:val="single"/>
        </w:rPr>
        <w:t>202</w:t>
      </w:r>
      <w:r>
        <w:rPr>
          <w:rFonts w:hint="eastAsia" w:ascii="楷体_GB2312" w:hAnsi="宋体" w:eastAsia="楷体_GB2312"/>
          <w:b/>
          <w:bCs/>
          <w:sz w:val="44"/>
          <w:szCs w:val="44"/>
          <w:u w:val="single"/>
          <w:lang w:val="en-US" w:eastAsia="zh-CN"/>
        </w:rPr>
        <w:t>5</w:t>
      </w:r>
      <w:r>
        <w:rPr>
          <w:rFonts w:hint="eastAsia" w:ascii="楷体_GB2312" w:hAnsi="宋体" w:eastAsia="楷体_GB2312"/>
          <w:b/>
          <w:bCs/>
          <w:sz w:val="44"/>
          <w:szCs w:val="44"/>
          <w:u w:val="single"/>
        </w:rPr>
        <w:t>年</w:t>
      </w:r>
      <w:r>
        <w:rPr>
          <w:rFonts w:hint="eastAsia" w:ascii="楷体_GB2312" w:hAnsi="宋体" w:eastAsia="楷体_GB2312"/>
          <w:b/>
          <w:bCs/>
          <w:sz w:val="44"/>
          <w:szCs w:val="44"/>
          <w:u w:val="single"/>
          <w:lang w:val="en-US" w:eastAsia="zh-CN"/>
        </w:rPr>
        <w:t>轻型车运输</w:t>
      </w:r>
      <w:r>
        <w:rPr>
          <w:rFonts w:hint="eastAsia" w:ascii="楷体_GB2312" w:hAnsi="宋体" w:eastAsia="楷体_GB2312"/>
          <w:b/>
          <w:bCs/>
          <w:sz w:val="44"/>
          <w:szCs w:val="44"/>
          <w:u w:val="single"/>
        </w:rPr>
        <w:t>项目</w:t>
      </w:r>
    </w:p>
    <w:p w14:paraId="5995284A">
      <w:pPr>
        <w:pStyle w:val="6"/>
        <w:spacing w:line="360" w:lineRule="auto"/>
      </w:pPr>
    </w:p>
    <w:p w14:paraId="032F97ED">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14:paraId="63B746C9">
      <w:pPr>
        <w:spacing w:line="360" w:lineRule="auto"/>
        <w:ind w:firstLine="2249" w:firstLineChars="700"/>
        <w:jc w:val="both"/>
        <w:rPr>
          <w:rFonts w:hint="eastAsia" w:eastAsia="宋体"/>
          <w:highlight w:val="yellow"/>
          <w:lang w:val="en-US" w:eastAsia="zh-CN"/>
        </w:rPr>
      </w:pPr>
      <w:r>
        <w:rPr>
          <w:rFonts w:ascii="宋体" w:hAnsi="宋体" w:cs="宋体"/>
          <w:b/>
          <w:color w:val="000000"/>
          <w:sz w:val="32"/>
          <w:highlight w:val="none"/>
        </w:rPr>
        <w:t>项目编号：CGZX2025090076</w:t>
      </w:r>
    </w:p>
    <w:p w14:paraId="039F4645">
      <w:pPr>
        <w:widowControl/>
        <w:spacing w:line="360" w:lineRule="auto"/>
        <w:ind w:firstLine="643"/>
        <w:jc w:val="left"/>
        <w:rPr>
          <w:rFonts w:ascii="宋体" w:hAnsi="宋体" w:cs="宋体"/>
          <w:b/>
          <w:bCs/>
          <w:kern w:val="0"/>
          <w:sz w:val="32"/>
          <w:szCs w:val="32"/>
        </w:rPr>
      </w:pPr>
    </w:p>
    <w:p w14:paraId="43B43DC7">
      <w:pPr>
        <w:widowControl/>
        <w:spacing w:line="360" w:lineRule="auto"/>
        <w:ind w:firstLine="643"/>
        <w:jc w:val="left"/>
        <w:rPr>
          <w:rFonts w:ascii="宋体" w:hAnsi="宋体" w:cs="宋体"/>
          <w:b/>
          <w:bCs/>
          <w:kern w:val="0"/>
          <w:sz w:val="32"/>
          <w:szCs w:val="32"/>
        </w:rPr>
      </w:pPr>
    </w:p>
    <w:p w14:paraId="16D49738">
      <w:pPr>
        <w:widowControl/>
        <w:spacing w:line="360" w:lineRule="auto"/>
        <w:ind w:firstLine="643"/>
        <w:jc w:val="left"/>
        <w:rPr>
          <w:rFonts w:ascii="宋体" w:hAnsi="宋体" w:cs="宋体"/>
          <w:b/>
          <w:bCs/>
          <w:kern w:val="0"/>
          <w:sz w:val="32"/>
          <w:szCs w:val="32"/>
        </w:rPr>
      </w:pPr>
    </w:p>
    <w:p w14:paraId="19EE8D61">
      <w:pPr>
        <w:widowControl/>
        <w:spacing w:line="360" w:lineRule="auto"/>
        <w:ind w:firstLine="1590" w:firstLineChars="495"/>
        <w:rPr>
          <w:rFonts w:ascii="宋体" w:hAnsi="宋体" w:cs="宋体"/>
          <w:b/>
          <w:bCs/>
          <w:kern w:val="0"/>
          <w:sz w:val="32"/>
          <w:szCs w:val="32"/>
          <w:u w:val="single"/>
        </w:rPr>
      </w:pPr>
    </w:p>
    <w:p w14:paraId="2E67E364">
      <w:pPr>
        <w:widowControl/>
        <w:spacing w:line="360" w:lineRule="auto"/>
        <w:ind w:firstLine="643"/>
        <w:jc w:val="center"/>
        <w:rPr>
          <w:rFonts w:ascii="宋体" w:hAnsi="宋体" w:cs="宋体"/>
          <w:b/>
          <w:bCs/>
          <w:kern w:val="0"/>
          <w:sz w:val="32"/>
          <w:szCs w:val="32"/>
        </w:rPr>
      </w:pPr>
    </w:p>
    <w:p w14:paraId="242BF8F4">
      <w:pPr>
        <w:spacing w:line="360" w:lineRule="auto"/>
      </w:pPr>
    </w:p>
    <w:p w14:paraId="5EC670AF">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14:paraId="13D59080">
      <w:pPr>
        <w:spacing w:line="360" w:lineRule="auto"/>
        <w:jc w:val="center"/>
        <w:rPr>
          <w:rFonts w:eastAsia="黑体"/>
        </w:rPr>
      </w:pPr>
      <w:r>
        <w:rPr>
          <w:rFonts w:hint="eastAsia" w:ascii="黑体" w:hAnsi="黑体" w:eastAsia="黑体" w:cs="黑体"/>
          <w:color w:val="000000"/>
          <w:sz w:val="32"/>
          <w:u w:val="single"/>
        </w:rPr>
        <w:t>202</w:t>
      </w:r>
      <w:r>
        <w:rPr>
          <w:rFonts w:hint="eastAsia" w:ascii="黑体" w:hAnsi="黑体" w:eastAsia="黑体" w:cs="黑体"/>
          <w:color w:val="000000"/>
          <w:sz w:val="32"/>
          <w:u w:val="single"/>
          <w:lang w:val="en-US" w:eastAsia="zh-CN"/>
        </w:rPr>
        <w:t>5</w:t>
      </w:r>
      <w:r>
        <w:rPr>
          <w:rFonts w:hint="eastAsia" w:ascii="黑体" w:hAnsi="黑体" w:eastAsia="黑体" w:cs="黑体"/>
          <w:color w:val="000000"/>
          <w:sz w:val="32"/>
        </w:rPr>
        <w:t>年</w:t>
      </w:r>
      <w:r>
        <w:rPr>
          <w:rFonts w:hint="eastAsia" w:ascii="黑体" w:hAnsi="黑体" w:eastAsia="黑体" w:cs="黑体"/>
          <w:color w:val="000000"/>
          <w:sz w:val="32"/>
          <w:highlight w:val="none"/>
          <w:lang w:val="en-US" w:eastAsia="zh-CN"/>
        </w:rPr>
        <w:t>9</w:t>
      </w:r>
      <w:r>
        <w:rPr>
          <w:rFonts w:hint="eastAsia" w:ascii="黑体" w:hAnsi="黑体" w:eastAsia="黑体" w:cs="黑体"/>
          <w:color w:val="000000"/>
          <w:sz w:val="32"/>
        </w:rPr>
        <w:t>月</w:t>
      </w:r>
    </w:p>
    <w:p w14:paraId="5906EAFE">
      <w:pPr>
        <w:widowControl/>
        <w:spacing w:line="360" w:lineRule="auto"/>
        <w:ind w:firstLine="723"/>
        <w:jc w:val="center"/>
        <w:rPr>
          <w:rFonts w:ascii="宋体" w:hAnsi="宋体"/>
          <w:b/>
        </w:rPr>
      </w:pPr>
      <w:r>
        <w:rPr>
          <w:rFonts w:hint="eastAsia" w:ascii="宋体" w:hAnsi="宋体" w:cs="宋体"/>
          <w:b/>
          <w:bCs/>
          <w:sz w:val="36"/>
          <w:szCs w:val="36"/>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219D7995">
      <w:pPr>
        <w:pStyle w:val="12"/>
        <w:tabs>
          <w:tab w:val="right" w:leader="dot" w:pos="9071"/>
        </w:tabs>
      </w:pPr>
      <w:r>
        <w:rPr>
          <w:rFonts w:hint="eastAsia" w:ascii="宋体" w:hAnsi="宋体" w:cs="宋体"/>
          <w:i/>
          <w:caps w:val="0"/>
          <w:szCs w:val="24"/>
        </w:rPr>
        <w:fldChar w:fldCharType="begin"/>
      </w:r>
      <w:r>
        <w:rPr>
          <w:rFonts w:hint="eastAsia" w:ascii="宋体" w:hAnsi="宋体" w:cs="宋体"/>
          <w:i/>
          <w:caps w:val="0"/>
          <w:szCs w:val="24"/>
        </w:rPr>
        <w:instrText xml:space="preserve">TOC \o "1-2" \h \u </w:instrText>
      </w:r>
      <w:r>
        <w:rPr>
          <w:rFonts w:hint="eastAsia" w:ascii="宋体" w:hAnsi="宋体" w:cs="宋体"/>
          <w:i/>
          <w:caps w:val="0"/>
          <w:szCs w:val="24"/>
        </w:rPr>
        <w:fldChar w:fldCharType="separate"/>
      </w:r>
      <w:r>
        <w:rPr>
          <w:rFonts w:hint="eastAsia" w:ascii="宋体" w:hAnsi="宋体" w:cs="宋体"/>
          <w:i/>
          <w:caps/>
          <w:szCs w:val="24"/>
        </w:rPr>
        <w:fldChar w:fldCharType="begin"/>
      </w:r>
      <w:r>
        <w:rPr>
          <w:rFonts w:hint="eastAsia" w:ascii="宋体" w:hAnsi="宋体" w:cs="宋体"/>
          <w:i/>
          <w:caps/>
          <w:szCs w:val="24"/>
        </w:rPr>
        <w:instrText xml:space="preserve"> HYPERLINK \l _Toc18724 </w:instrText>
      </w:r>
      <w:r>
        <w:rPr>
          <w:rFonts w:hint="eastAsia" w:ascii="宋体" w:hAnsi="宋体" w:cs="宋体"/>
          <w:i/>
          <w:caps/>
          <w:szCs w:val="24"/>
        </w:rPr>
        <w:fldChar w:fldCharType="separate"/>
      </w:r>
      <w:r>
        <w:t xml:space="preserve">第1章 </w:t>
      </w:r>
      <w:r>
        <w:rPr>
          <w:rFonts w:hint="eastAsia"/>
        </w:rPr>
        <w:t>招标公告</w:t>
      </w:r>
      <w:r>
        <w:tab/>
      </w:r>
      <w:r>
        <w:fldChar w:fldCharType="begin"/>
      </w:r>
      <w:r>
        <w:instrText xml:space="preserve"> PAGEREF _Toc18724 \h </w:instrText>
      </w:r>
      <w:r>
        <w:fldChar w:fldCharType="separate"/>
      </w:r>
      <w:r>
        <w:t>1</w:t>
      </w:r>
      <w:r>
        <w:fldChar w:fldCharType="end"/>
      </w:r>
      <w:r>
        <w:rPr>
          <w:rFonts w:hint="eastAsia" w:ascii="宋体" w:hAnsi="宋体" w:cs="宋体"/>
          <w:i/>
          <w:caps/>
          <w:szCs w:val="24"/>
        </w:rPr>
        <w:fldChar w:fldCharType="end"/>
      </w:r>
    </w:p>
    <w:p w14:paraId="30F48C44">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_Toc5397 </w:instrText>
      </w:r>
      <w:r>
        <w:rPr>
          <w:rFonts w:hint="eastAsia" w:ascii="宋体" w:hAnsi="宋体" w:cs="宋体"/>
          <w:i/>
          <w:caps/>
          <w:szCs w:val="24"/>
        </w:rPr>
        <w:fldChar w:fldCharType="separate"/>
      </w:r>
      <w:r>
        <w:rPr>
          <w:rFonts w:hint="default" w:eastAsia="宋体"/>
          <w:i w:val="0"/>
          <w:iCs w:val="0"/>
          <w:szCs w:val="28"/>
        </w:rPr>
        <w:t xml:space="preserve">1.1 </w:t>
      </w:r>
      <w:r>
        <w:rPr>
          <w:rFonts w:hint="eastAsia" w:eastAsia="宋体"/>
          <w:szCs w:val="28"/>
        </w:rPr>
        <w:t>项目名称及项目编号</w:t>
      </w:r>
      <w:r>
        <w:tab/>
      </w:r>
      <w:r>
        <w:fldChar w:fldCharType="begin"/>
      </w:r>
      <w:r>
        <w:instrText xml:space="preserve"> PAGEREF _Toc5397 \h </w:instrText>
      </w:r>
      <w:r>
        <w:fldChar w:fldCharType="separate"/>
      </w:r>
      <w:r>
        <w:t>1</w:t>
      </w:r>
      <w:r>
        <w:fldChar w:fldCharType="end"/>
      </w:r>
      <w:r>
        <w:rPr>
          <w:rFonts w:hint="eastAsia" w:ascii="宋体" w:hAnsi="宋体" w:cs="宋体"/>
          <w:i/>
          <w:caps/>
          <w:szCs w:val="24"/>
        </w:rPr>
        <w:fldChar w:fldCharType="end"/>
      </w:r>
    </w:p>
    <w:p w14:paraId="3EA7BF1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_Toc24967 </w:instrText>
      </w:r>
      <w:r>
        <w:rPr>
          <w:rFonts w:hint="eastAsia" w:ascii="宋体" w:hAnsi="宋体" w:cs="宋体"/>
          <w:i/>
          <w:caps/>
          <w:szCs w:val="24"/>
        </w:rPr>
        <w:fldChar w:fldCharType="separate"/>
      </w:r>
      <w:r>
        <w:rPr>
          <w:rFonts w:hint="default"/>
          <w:i w:val="0"/>
          <w:iCs w:val="0"/>
          <w:szCs w:val="28"/>
        </w:rPr>
        <w:t xml:space="preserve">1.2 </w:t>
      </w:r>
      <w:r>
        <w:rPr>
          <w:rFonts w:hint="eastAsia"/>
          <w:szCs w:val="28"/>
        </w:rPr>
        <w:t>招标形式</w:t>
      </w:r>
      <w:r>
        <w:tab/>
      </w:r>
      <w:r>
        <w:fldChar w:fldCharType="begin"/>
      </w:r>
      <w:r>
        <w:instrText xml:space="preserve"> PAGEREF _Toc24967 \h </w:instrText>
      </w:r>
      <w:r>
        <w:fldChar w:fldCharType="separate"/>
      </w:r>
      <w:r>
        <w:t>1</w:t>
      </w:r>
      <w:r>
        <w:fldChar w:fldCharType="end"/>
      </w:r>
      <w:r>
        <w:rPr>
          <w:rFonts w:hint="eastAsia" w:ascii="宋体" w:hAnsi="宋体" w:cs="宋体"/>
          <w:i/>
          <w:caps/>
          <w:szCs w:val="24"/>
        </w:rPr>
        <w:fldChar w:fldCharType="end"/>
      </w:r>
    </w:p>
    <w:p w14:paraId="2E5B5A2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_Toc2194 </w:instrText>
      </w:r>
      <w:r>
        <w:rPr>
          <w:rFonts w:hint="eastAsia" w:ascii="宋体" w:hAnsi="宋体" w:cs="宋体"/>
          <w:i/>
          <w:caps/>
          <w:szCs w:val="24"/>
        </w:rPr>
        <w:fldChar w:fldCharType="separate"/>
      </w:r>
      <w:r>
        <w:rPr>
          <w:rFonts w:hint="default"/>
          <w:i w:val="0"/>
          <w:iCs w:val="0"/>
          <w:szCs w:val="28"/>
          <w:lang w:val="en-US"/>
        </w:rPr>
        <w:t xml:space="preserve">1.3 </w:t>
      </w:r>
      <w:r>
        <w:rPr>
          <w:rFonts w:hint="eastAsia"/>
          <w:szCs w:val="28"/>
        </w:rPr>
        <w:t>投标人资格要求</w:t>
      </w:r>
      <w:r>
        <w:tab/>
      </w:r>
      <w:r>
        <w:fldChar w:fldCharType="begin"/>
      </w:r>
      <w:r>
        <w:instrText xml:space="preserve"> PAGEREF _Toc2194 \h </w:instrText>
      </w:r>
      <w:r>
        <w:fldChar w:fldCharType="separate"/>
      </w:r>
      <w:r>
        <w:t>1</w:t>
      </w:r>
      <w:r>
        <w:fldChar w:fldCharType="end"/>
      </w:r>
      <w:r>
        <w:rPr>
          <w:rFonts w:hint="eastAsia" w:ascii="宋体" w:hAnsi="宋体" w:cs="宋体"/>
          <w:i/>
          <w:caps/>
          <w:szCs w:val="24"/>
        </w:rPr>
        <w:fldChar w:fldCharType="end"/>
      </w:r>
    </w:p>
    <w:p w14:paraId="5FC593BA">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_Toc22211 </w:instrText>
      </w:r>
      <w:r>
        <w:rPr>
          <w:rFonts w:hint="eastAsia" w:ascii="宋体" w:hAnsi="宋体" w:cs="宋体"/>
          <w:i/>
          <w:caps/>
          <w:szCs w:val="24"/>
        </w:rPr>
        <w:fldChar w:fldCharType="separate"/>
      </w:r>
      <w:r>
        <w:rPr>
          <w:rFonts w:hint="default"/>
          <w:i w:val="0"/>
          <w:iCs w:val="0"/>
          <w:szCs w:val="28"/>
        </w:rPr>
        <w:t xml:space="preserve">1.4 </w:t>
      </w:r>
      <w:r>
        <w:rPr>
          <w:rFonts w:hint="eastAsia"/>
          <w:szCs w:val="28"/>
        </w:rPr>
        <w:t>招标文件的获取</w:t>
      </w:r>
      <w:r>
        <w:tab/>
      </w:r>
      <w:r>
        <w:fldChar w:fldCharType="begin"/>
      </w:r>
      <w:r>
        <w:instrText xml:space="preserve"> PAGEREF _Toc22211 \h </w:instrText>
      </w:r>
      <w:r>
        <w:fldChar w:fldCharType="separate"/>
      </w:r>
      <w:r>
        <w:t>2</w:t>
      </w:r>
      <w:r>
        <w:fldChar w:fldCharType="end"/>
      </w:r>
      <w:r>
        <w:rPr>
          <w:rFonts w:hint="eastAsia" w:ascii="宋体" w:hAnsi="宋体" w:cs="宋体"/>
          <w:i/>
          <w:caps/>
          <w:szCs w:val="24"/>
        </w:rPr>
        <w:fldChar w:fldCharType="end"/>
      </w:r>
    </w:p>
    <w:p w14:paraId="6B4EBFF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_Toc10474 </w:instrText>
      </w:r>
      <w:r>
        <w:rPr>
          <w:rFonts w:hint="eastAsia" w:ascii="宋体" w:hAnsi="宋体" w:cs="宋体"/>
          <w:i/>
          <w:caps/>
          <w:szCs w:val="24"/>
        </w:rPr>
        <w:fldChar w:fldCharType="separate"/>
      </w:r>
      <w:r>
        <w:rPr>
          <w:rFonts w:hint="default"/>
          <w:i w:val="0"/>
          <w:iCs w:val="0"/>
          <w:szCs w:val="28"/>
        </w:rPr>
        <w:t xml:space="preserve">1.5 </w:t>
      </w:r>
      <w:r>
        <w:rPr>
          <w:rFonts w:hint="eastAsia"/>
          <w:szCs w:val="28"/>
        </w:rPr>
        <w:t>投标文件的递交</w:t>
      </w:r>
      <w:r>
        <w:tab/>
      </w:r>
      <w:r>
        <w:fldChar w:fldCharType="begin"/>
      </w:r>
      <w:r>
        <w:instrText xml:space="preserve"> PAGEREF _Toc10474 \h </w:instrText>
      </w:r>
      <w:r>
        <w:fldChar w:fldCharType="separate"/>
      </w:r>
      <w:r>
        <w:t>3</w:t>
      </w:r>
      <w:r>
        <w:fldChar w:fldCharType="end"/>
      </w:r>
      <w:r>
        <w:rPr>
          <w:rFonts w:hint="eastAsia" w:ascii="宋体" w:hAnsi="宋体" w:cs="宋体"/>
          <w:i/>
          <w:caps/>
          <w:szCs w:val="24"/>
        </w:rPr>
        <w:fldChar w:fldCharType="end"/>
      </w:r>
    </w:p>
    <w:p w14:paraId="60E14D39">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_Toc10294 </w:instrText>
      </w:r>
      <w:r>
        <w:rPr>
          <w:rFonts w:hint="eastAsia" w:ascii="宋体" w:hAnsi="宋体" w:cs="宋体"/>
          <w:i/>
          <w:caps/>
          <w:szCs w:val="24"/>
        </w:rPr>
        <w:fldChar w:fldCharType="separate"/>
      </w:r>
      <w:r>
        <w:rPr>
          <w:rFonts w:hint="default"/>
          <w:i w:val="0"/>
          <w:iCs w:val="0"/>
          <w:szCs w:val="28"/>
        </w:rPr>
        <w:t xml:space="preserve">1.6 </w:t>
      </w:r>
      <w:r>
        <w:rPr>
          <w:rFonts w:hint="eastAsia"/>
          <w:szCs w:val="28"/>
          <w:highlight w:val="none"/>
        </w:rPr>
        <w:t>开标时间和地点</w:t>
      </w:r>
      <w:r>
        <w:tab/>
      </w:r>
      <w:r>
        <w:fldChar w:fldCharType="begin"/>
      </w:r>
      <w:r>
        <w:instrText xml:space="preserve"> PAGEREF _Toc10294 \h </w:instrText>
      </w:r>
      <w:r>
        <w:fldChar w:fldCharType="separate"/>
      </w:r>
      <w:r>
        <w:t>3</w:t>
      </w:r>
      <w:r>
        <w:fldChar w:fldCharType="end"/>
      </w:r>
      <w:r>
        <w:rPr>
          <w:rFonts w:hint="eastAsia" w:ascii="宋体" w:hAnsi="宋体" w:cs="宋体"/>
          <w:i/>
          <w:caps/>
          <w:szCs w:val="24"/>
        </w:rPr>
        <w:fldChar w:fldCharType="end"/>
      </w:r>
    </w:p>
    <w:p w14:paraId="631134DB">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_Toc1341 </w:instrText>
      </w:r>
      <w:r>
        <w:rPr>
          <w:rFonts w:hint="eastAsia" w:ascii="宋体" w:hAnsi="宋体" w:cs="宋体"/>
          <w:i/>
          <w:caps/>
          <w:szCs w:val="24"/>
        </w:rPr>
        <w:fldChar w:fldCharType="separate"/>
      </w:r>
      <w:r>
        <w:rPr>
          <w:rFonts w:hint="default"/>
          <w:i w:val="0"/>
          <w:iCs w:val="0"/>
          <w:szCs w:val="28"/>
        </w:rPr>
        <w:t xml:space="preserve">1.7 </w:t>
      </w:r>
      <w:r>
        <w:rPr>
          <w:rFonts w:hint="eastAsia"/>
          <w:szCs w:val="28"/>
        </w:rPr>
        <w:t>联系方式</w:t>
      </w:r>
      <w:r>
        <w:tab/>
      </w:r>
      <w:r>
        <w:fldChar w:fldCharType="begin"/>
      </w:r>
      <w:r>
        <w:instrText xml:space="preserve"> PAGEREF _Toc1341 \h </w:instrText>
      </w:r>
      <w:r>
        <w:fldChar w:fldCharType="separate"/>
      </w:r>
      <w:r>
        <w:t>3</w:t>
      </w:r>
      <w:r>
        <w:fldChar w:fldCharType="end"/>
      </w:r>
      <w:r>
        <w:rPr>
          <w:rFonts w:hint="eastAsia" w:ascii="宋体" w:hAnsi="宋体" w:cs="宋体"/>
          <w:i/>
          <w:caps/>
          <w:szCs w:val="24"/>
        </w:rPr>
        <w:fldChar w:fldCharType="end"/>
      </w:r>
    </w:p>
    <w:p w14:paraId="087870EC">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_Toc26835 </w:instrText>
      </w:r>
      <w:r>
        <w:rPr>
          <w:rFonts w:hint="eastAsia" w:ascii="宋体" w:hAnsi="宋体" w:cs="宋体"/>
          <w:i/>
          <w:caps/>
          <w:szCs w:val="24"/>
        </w:rPr>
        <w:fldChar w:fldCharType="separate"/>
      </w:r>
      <w:r>
        <w:rPr>
          <w:rFonts w:hint="default"/>
          <w:i w:val="0"/>
          <w:iCs w:val="0"/>
          <w:szCs w:val="28"/>
        </w:rPr>
        <w:t xml:space="preserve">1.8 </w:t>
      </w:r>
      <w:r>
        <w:rPr>
          <w:rFonts w:hint="eastAsia"/>
          <w:szCs w:val="28"/>
        </w:rPr>
        <w:t>保证金</w:t>
      </w:r>
      <w:r>
        <w:tab/>
      </w:r>
      <w:r>
        <w:fldChar w:fldCharType="begin"/>
      </w:r>
      <w:r>
        <w:instrText xml:space="preserve"> PAGEREF _Toc26835 \h </w:instrText>
      </w:r>
      <w:r>
        <w:fldChar w:fldCharType="separate"/>
      </w:r>
      <w:r>
        <w:t>3</w:t>
      </w:r>
      <w:r>
        <w:fldChar w:fldCharType="end"/>
      </w:r>
      <w:r>
        <w:rPr>
          <w:rFonts w:hint="eastAsia" w:ascii="宋体" w:hAnsi="宋体" w:cs="宋体"/>
          <w:i/>
          <w:caps/>
          <w:szCs w:val="24"/>
        </w:rPr>
        <w:fldChar w:fldCharType="end"/>
      </w:r>
    </w:p>
    <w:p w14:paraId="5615E2A2">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_Toc27584 </w:instrText>
      </w:r>
      <w:r>
        <w:rPr>
          <w:rFonts w:hint="eastAsia" w:ascii="宋体" w:hAnsi="宋体" w:cs="宋体"/>
          <w:i/>
          <w:caps/>
          <w:szCs w:val="24"/>
        </w:rPr>
        <w:fldChar w:fldCharType="separate"/>
      </w:r>
      <w:r>
        <w:t xml:space="preserve">第2章 </w:t>
      </w:r>
      <w:r>
        <w:rPr>
          <w:rFonts w:hint="eastAsia"/>
        </w:rPr>
        <w:t>投标人须知</w:t>
      </w:r>
      <w:r>
        <w:tab/>
      </w:r>
      <w:r>
        <w:fldChar w:fldCharType="begin"/>
      </w:r>
      <w:r>
        <w:instrText xml:space="preserve"> PAGEREF _Toc27584 \h </w:instrText>
      </w:r>
      <w:r>
        <w:fldChar w:fldCharType="separate"/>
      </w:r>
      <w:r>
        <w:t>4</w:t>
      </w:r>
      <w:r>
        <w:fldChar w:fldCharType="end"/>
      </w:r>
      <w:r>
        <w:rPr>
          <w:rFonts w:hint="eastAsia" w:ascii="宋体" w:hAnsi="宋体" w:cs="宋体"/>
          <w:i/>
          <w:caps/>
          <w:szCs w:val="24"/>
        </w:rPr>
        <w:fldChar w:fldCharType="end"/>
      </w:r>
    </w:p>
    <w:p w14:paraId="13F89A1B">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_Toc16609 </w:instrText>
      </w:r>
      <w:r>
        <w:rPr>
          <w:rFonts w:hint="eastAsia" w:ascii="宋体" w:hAnsi="宋体" w:cs="宋体"/>
          <w:i/>
          <w:caps/>
          <w:szCs w:val="24"/>
        </w:rPr>
        <w:fldChar w:fldCharType="separate"/>
      </w:r>
      <w:r>
        <w:rPr>
          <w:rFonts w:hint="default"/>
          <w:szCs w:val="28"/>
        </w:rPr>
        <w:t xml:space="preserve">2.1 </w:t>
      </w:r>
      <w:r>
        <w:rPr>
          <w:rFonts w:hint="eastAsia"/>
          <w:szCs w:val="28"/>
        </w:rPr>
        <w:t>投标人须知前附表</w:t>
      </w:r>
      <w:r>
        <w:tab/>
      </w:r>
      <w:r>
        <w:fldChar w:fldCharType="begin"/>
      </w:r>
      <w:r>
        <w:instrText xml:space="preserve"> PAGEREF _Toc16609 \h </w:instrText>
      </w:r>
      <w:r>
        <w:fldChar w:fldCharType="separate"/>
      </w:r>
      <w:r>
        <w:t>4</w:t>
      </w:r>
      <w:r>
        <w:fldChar w:fldCharType="end"/>
      </w:r>
      <w:r>
        <w:rPr>
          <w:rFonts w:hint="eastAsia" w:ascii="宋体" w:hAnsi="宋体" w:cs="宋体"/>
          <w:i/>
          <w:caps/>
          <w:szCs w:val="24"/>
        </w:rPr>
        <w:fldChar w:fldCharType="end"/>
      </w:r>
    </w:p>
    <w:p w14:paraId="795FF587">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_Toc13043 </w:instrText>
      </w:r>
      <w:r>
        <w:rPr>
          <w:rFonts w:hint="eastAsia" w:ascii="宋体" w:hAnsi="宋体" w:cs="宋体"/>
          <w:i/>
          <w:caps/>
          <w:szCs w:val="24"/>
        </w:rPr>
        <w:fldChar w:fldCharType="separate"/>
      </w:r>
      <w:r>
        <w:rPr>
          <w:rFonts w:hint="eastAsia"/>
          <w:szCs w:val="28"/>
          <w:lang w:val="en-US" w:eastAsia="zh-CN"/>
        </w:rPr>
        <w:t>2.2</w:t>
      </w:r>
      <w:r>
        <w:rPr>
          <w:rFonts w:hint="eastAsia"/>
          <w:szCs w:val="28"/>
        </w:rPr>
        <w:t>投标文件编写</w:t>
      </w:r>
      <w:r>
        <w:tab/>
      </w:r>
      <w:r>
        <w:fldChar w:fldCharType="begin"/>
      </w:r>
      <w:r>
        <w:instrText xml:space="preserve"> PAGEREF _Toc13043 \h </w:instrText>
      </w:r>
      <w:r>
        <w:fldChar w:fldCharType="separate"/>
      </w:r>
      <w:r>
        <w:t>7</w:t>
      </w:r>
      <w:r>
        <w:fldChar w:fldCharType="end"/>
      </w:r>
      <w:r>
        <w:rPr>
          <w:rFonts w:hint="eastAsia" w:ascii="宋体" w:hAnsi="宋体" w:cs="宋体"/>
          <w:i/>
          <w:caps/>
          <w:szCs w:val="24"/>
        </w:rPr>
        <w:fldChar w:fldCharType="end"/>
      </w:r>
    </w:p>
    <w:p w14:paraId="08CF011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_Toc9933 </w:instrText>
      </w:r>
      <w:r>
        <w:rPr>
          <w:rFonts w:hint="eastAsia" w:ascii="宋体" w:hAnsi="宋体" w:cs="宋体"/>
          <w:i/>
          <w:caps/>
          <w:szCs w:val="24"/>
        </w:rPr>
        <w:fldChar w:fldCharType="separate"/>
      </w:r>
      <w:r>
        <w:rPr>
          <w:rFonts w:hint="eastAsia"/>
          <w:szCs w:val="28"/>
          <w:lang w:val="en-US" w:eastAsia="zh-CN"/>
        </w:rPr>
        <w:t>2.3</w:t>
      </w:r>
      <w:r>
        <w:rPr>
          <w:rFonts w:hint="eastAsia"/>
          <w:szCs w:val="28"/>
        </w:rPr>
        <w:t>开标与评标</w:t>
      </w:r>
      <w:r>
        <w:tab/>
      </w:r>
      <w:r>
        <w:fldChar w:fldCharType="begin"/>
      </w:r>
      <w:r>
        <w:instrText xml:space="preserve"> PAGEREF _Toc9933 \h </w:instrText>
      </w:r>
      <w:r>
        <w:fldChar w:fldCharType="separate"/>
      </w:r>
      <w:r>
        <w:t>9</w:t>
      </w:r>
      <w:r>
        <w:fldChar w:fldCharType="end"/>
      </w:r>
      <w:r>
        <w:rPr>
          <w:rFonts w:hint="eastAsia" w:ascii="宋体" w:hAnsi="宋体" w:cs="宋体"/>
          <w:i/>
          <w:caps/>
          <w:szCs w:val="24"/>
        </w:rPr>
        <w:fldChar w:fldCharType="end"/>
      </w:r>
    </w:p>
    <w:p w14:paraId="74930327">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_Toc20924 </w:instrText>
      </w:r>
      <w:r>
        <w:rPr>
          <w:rFonts w:hint="eastAsia" w:ascii="宋体" w:hAnsi="宋体" w:cs="宋体"/>
          <w:i/>
          <w:caps/>
          <w:szCs w:val="24"/>
        </w:rPr>
        <w:fldChar w:fldCharType="separate"/>
      </w:r>
      <w:r>
        <w:t xml:space="preserve">第3章 </w:t>
      </w:r>
      <w:r>
        <w:rPr>
          <w:rFonts w:hint="eastAsia"/>
        </w:rPr>
        <w:t>招标项目内容及运输费用标准</w:t>
      </w:r>
      <w:r>
        <w:tab/>
      </w:r>
      <w:r>
        <w:fldChar w:fldCharType="begin"/>
      </w:r>
      <w:r>
        <w:instrText xml:space="preserve"> PAGEREF _Toc20924 \h </w:instrText>
      </w:r>
      <w:r>
        <w:fldChar w:fldCharType="separate"/>
      </w:r>
      <w:r>
        <w:t>10</w:t>
      </w:r>
      <w:r>
        <w:fldChar w:fldCharType="end"/>
      </w:r>
      <w:r>
        <w:rPr>
          <w:rFonts w:hint="eastAsia" w:ascii="宋体" w:hAnsi="宋体" w:cs="宋体"/>
          <w:i/>
          <w:caps/>
          <w:szCs w:val="24"/>
        </w:rPr>
        <w:fldChar w:fldCharType="end"/>
      </w:r>
    </w:p>
    <w:p w14:paraId="25281317">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_Toc20332 </w:instrText>
      </w:r>
      <w:r>
        <w:rPr>
          <w:rFonts w:hint="eastAsia" w:ascii="宋体" w:hAnsi="宋体" w:cs="宋体"/>
          <w:i/>
          <w:caps/>
          <w:szCs w:val="24"/>
        </w:rPr>
        <w:fldChar w:fldCharType="separate"/>
      </w:r>
      <w:r>
        <w:rPr>
          <w:rFonts w:hint="eastAsia"/>
          <w:szCs w:val="28"/>
        </w:rPr>
        <w:t>3.1项目内容</w:t>
      </w:r>
      <w:r>
        <w:tab/>
      </w:r>
      <w:r>
        <w:fldChar w:fldCharType="begin"/>
      </w:r>
      <w:r>
        <w:instrText xml:space="preserve"> PAGEREF _Toc20332 \h </w:instrText>
      </w:r>
      <w:r>
        <w:fldChar w:fldCharType="separate"/>
      </w:r>
      <w:r>
        <w:t>10</w:t>
      </w:r>
      <w:r>
        <w:fldChar w:fldCharType="end"/>
      </w:r>
      <w:r>
        <w:rPr>
          <w:rFonts w:hint="eastAsia" w:ascii="宋体" w:hAnsi="宋体" w:cs="宋体"/>
          <w:i/>
          <w:caps/>
          <w:szCs w:val="24"/>
        </w:rPr>
        <w:fldChar w:fldCharType="end"/>
      </w:r>
    </w:p>
    <w:p w14:paraId="2F548110">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_Toc25878 </w:instrText>
      </w:r>
      <w:r>
        <w:rPr>
          <w:rFonts w:hint="eastAsia" w:ascii="宋体" w:hAnsi="宋体" w:cs="宋体"/>
          <w:i/>
          <w:caps/>
          <w:szCs w:val="24"/>
        </w:rPr>
        <w:fldChar w:fldCharType="separate"/>
      </w:r>
      <w:r>
        <w:rPr>
          <w:rFonts w:hint="eastAsia"/>
          <w:szCs w:val="28"/>
        </w:rPr>
        <w:t>3.2项目</w:t>
      </w:r>
      <w:r>
        <w:rPr>
          <w:rFonts w:hint="eastAsia"/>
          <w:szCs w:val="28"/>
          <w:lang w:val="en-US" w:eastAsia="zh-CN"/>
        </w:rPr>
        <w:t>标段</w:t>
      </w:r>
      <w:r>
        <w:rPr>
          <w:rFonts w:hint="eastAsia"/>
          <w:szCs w:val="28"/>
        </w:rPr>
        <w:t>划分</w:t>
      </w:r>
      <w:r>
        <w:tab/>
      </w:r>
      <w:r>
        <w:fldChar w:fldCharType="begin"/>
      </w:r>
      <w:r>
        <w:instrText xml:space="preserve"> PAGEREF _Toc25878 \h </w:instrText>
      </w:r>
      <w:r>
        <w:fldChar w:fldCharType="separate"/>
      </w:r>
      <w:r>
        <w:t>10</w:t>
      </w:r>
      <w:r>
        <w:fldChar w:fldCharType="end"/>
      </w:r>
      <w:r>
        <w:rPr>
          <w:rFonts w:hint="eastAsia" w:ascii="宋体" w:hAnsi="宋体" w:cs="宋体"/>
          <w:i/>
          <w:caps/>
          <w:szCs w:val="24"/>
        </w:rPr>
        <w:fldChar w:fldCharType="end"/>
      </w:r>
    </w:p>
    <w:p w14:paraId="51C284F6">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_Toc6490 </w:instrText>
      </w:r>
      <w:r>
        <w:rPr>
          <w:rFonts w:hint="eastAsia" w:ascii="宋体" w:hAnsi="宋体" w:cs="宋体"/>
          <w:i/>
          <w:caps/>
          <w:szCs w:val="24"/>
        </w:rPr>
        <w:fldChar w:fldCharType="separate"/>
      </w:r>
      <w:r>
        <w:rPr>
          <w:rFonts w:hint="eastAsia"/>
          <w:szCs w:val="28"/>
        </w:rPr>
        <w:t>3.3限达时间</w:t>
      </w:r>
      <w:r>
        <w:tab/>
      </w:r>
      <w:r>
        <w:fldChar w:fldCharType="begin"/>
      </w:r>
      <w:r>
        <w:instrText xml:space="preserve"> PAGEREF _Toc6490 \h </w:instrText>
      </w:r>
      <w:r>
        <w:fldChar w:fldCharType="separate"/>
      </w:r>
      <w:r>
        <w:t>11</w:t>
      </w:r>
      <w:r>
        <w:fldChar w:fldCharType="end"/>
      </w:r>
      <w:r>
        <w:rPr>
          <w:rFonts w:hint="eastAsia" w:ascii="宋体" w:hAnsi="宋体" w:cs="宋体"/>
          <w:i/>
          <w:caps/>
          <w:szCs w:val="24"/>
        </w:rPr>
        <w:fldChar w:fldCharType="end"/>
      </w:r>
    </w:p>
    <w:p w14:paraId="024515A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_Toc30836 </w:instrText>
      </w:r>
      <w:r>
        <w:rPr>
          <w:rFonts w:hint="eastAsia" w:ascii="宋体" w:hAnsi="宋体" w:cs="宋体"/>
          <w:i/>
          <w:caps/>
          <w:szCs w:val="24"/>
        </w:rPr>
        <w:fldChar w:fldCharType="separate"/>
      </w:r>
      <w:r>
        <w:rPr>
          <w:rFonts w:hint="eastAsia"/>
          <w:szCs w:val="28"/>
        </w:rPr>
        <w:t>3.4</w:t>
      </w:r>
      <w:r>
        <w:rPr>
          <w:rFonts w:hint="eastAsia"/>
          <w:szCs w:val="28"/>
          <w:lang w:val="en-US" w:eastAsia="zh-CN"/>
        </w:rPr>
        <w:t>送达</w:t>
      </w:r>
      <w:r>
        <w:rPr>
          <w:rFonts w:hint="eastAsia"/>
          <w:szCs w:val="28"/>
        </w:rPr>
        <w:t>及时率</w:t>
      </w:r>
      <w:r>
        <w:tab/>
      </w:r>
      <w:r>
        <w:fldChar w:fldCharType="begin"/>
      </w:r>
      <w:r>
        <w:instrText xml:space="preserve"> PAGEREF _Toc30836 \h </w:instrText>
      </w:r>
      <w:r>
        <w:fldChar w:fldCharType="separate"/>
      </w:r>
      <w:r>
        <w:t>11</w:t>
      </w:r>
      <w:r>
        <w:fldChar w:fldCharType="end"/>
      </w:r>
      <w:r>
        <w:rPr>
          <w:rFonts w:hint="eastAsia" w:ascii="宋体" w:hAnsi="宋体" w:cs="宋体"/>
          <w:i/>
          <w:caps/>
          <w:szCs w:val="24"/>
        </w:rPr>
        <w:fldChar w:fldCharType="end"/>
      </w:r>
    </w:p>
    <w:p w14:paraId="393D6C7F">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_Toc5221 </w:instrText>
      </w:r>
      <w:r>
        <w:rPr>
          <w:rFonts w:hint="eastAsia" w:ascii="宋体" w:hAnsi="宋体" w:cs="宋体"/>
          <w:i/>
          <w:caps/>
          <w:szCs w:val="24"/>
        </w:rPr>
        <w:fldChar w:fldCharType="separate"/>
      </w:r>
      <w:r>
        <w:rPr>
          <w:rFonts w:hint="eastAsia" w:ascii="Times New Roman" w:hAnsi="Times New Roman" w:cs="Times New Roman"/>
          <w:szCs w:val="28"/>
        </w:rPr>
        <w:t>3.5项目运输费用标准</w:t>
      </w:r>
      <w:r>
        <w:tab/>
      </w:r>
      <w:r>
        <w:fldChar w:fldCharType="begin"/>
      </w:r>
      <w:r>
        <w:instrText xml:space="preserve"> PAGEREF _Toc5221 \h </w:instrText>
      </w:r>
      <w:r>
        <w:fldChar w:fldCharType="separate"/>
      </w:r>
      <w:r>
        <w:t>11</w:t>
      </w:r>
      <w:r>
        <w:fldChar w:fldCharType="end"/>
      </w:r>
      <w:r>
        <w:rPr>
          <w:rFonts w:hint="eastAsia" w:ascii="宋体" w:hAnsi="宋体" w:cs="宋体"/>
          <w:i/>
          <w:caps/>
          <w:szCs w:val="24"/>
        </w:rPr>
        <w:fldChar w:fldCharType="end"/>
      </w:r>
    </w:p>
    <w:p w14:paraId="720B1017">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_Toc3351 </w:instrText>
      </w:r>
      <w:r>
        <w:rPr>
          <w:rFonts w:hint="eastAsia" w:ascii="宋体" w:hAnsi="宋体" w:cs="宋体"/>
          <w:i/>
          <w:caps/>
          <w:szCs w:val="24"/>
        </w:rPr>
        <w:fldChar w:fldCharType="separate"/>
      </w:r>
      <w:r>
        <w:t xml:space="preserve">第4章 </w:t>
      </w:r>
      <w:r>
        <w:rPr>
          <w:rFonts w:hint="eastAsia"/>
        </w:rPr>
        <w:t>报价及</w:t>
      </w:r>
      <w:r>
        <w:rPr>
          <w:rFonts w:hint="eastAsia"/>
          <w:lang w:val="en-US" w:eastAsia="zh-CN"/>
        </w:rPr>
        <w:t>管理履约</w:t>
      </w:r>
      <w:r>
        <w:rPr>
          <w:rFonts w:hint="eastAsia"/>
        </w:rPr>
        <w:t>要求</w:t>
      </w:r>
      <w:r>
        <w:tab/>
      </w:r>
      <w:r>
        <w:fldChar w:fldCharType="begin"/>
      </w:r>
      <w:r>
        <w:instrText xml:space="preserve"> PAGEREF _Toc3351 \h </w:instrText>
      </w:r>
      <w:r>
        <w:fldChar w:fldCharType="separate"/>
      </w:r>
      <w:r>
        <w:t>12</w:t>
      </w:r>
      <w:r>
        <w:fldChar w:fldCharType="end"/>
      </w:r>
      <w:r>
        <w:rPr>
          <w:rFonts w:hint="eastAsia" w:ascii="宋体" w:hAnsi="宋体" w:cs="宋体"/>
          <w:i/>
          <w:caps/>
          <w:szCs w:val="24"/>
        </w:rPr>
        <w:fldChar w:fldCharType="end"/>
      </w:r>
    </w:p>
    <w:p w14:paraId="43E9089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_Toc3747 </w:instrText>
      </w:r>
      <w:r>
        <w:rPr>
          <w:rFonts w:hint="eastAsia" w:ascii="宋体" w:hAnsi="宋体" w:cs="宋体"/>
          <w:i/>
          <w:caps/>
          <w:szCs w:val="24"/>
        </w:rPr>
        <w:fldChar w:fldCharType="separate"/>
      </w:r>
      <w:r>
        <w:rPr>
          <w:rFonts w:hint="eastAsia"/>
          <w:szCs w:val="28"/>
        </w:rPr>
        <w:t xml:space="preserve">4.1 </w:t>
      </w:r>
      <w:r>
        <w:rPr>
          <w:rFonts w:hint="eastAsia" w:ascii="宋体" w:hAnsi="宋体" w:cs="宋体"/>
          <w:szCs w:val="28"/>
        </w:rPr>
        <w:t>报价要求</w:t>
      </w:r>
      <w:r>
        <w:tab/>
      </w:r>
      <w:r>
        <w:fldChar w:fldCharType="begin"/>
      </w:r>
      <w:r>
        <w:instrText xml:space="preserve"> PAGEREF _Toc3747 \h </w:instrText>
      </w:r>
      <w:r>
        <w:fldChar w:fldCharType="separate"/>
      </w:r>
      <w:r>
        <w:t>12</w:t>
      </w:r>
      <w:r>
        <w:fldChar w:fldCharType="end"/>
      </w:r>
      <w:r>
        <w:rPr>
          <w:rFonts w:hint="eastAsia" w:ascii="宋体" w:hAnsi="宋体" w:cs="宋体"/>
          <w:i/>
          <w:caps/>
          <w:szCs w:val="24"/>
        </w:rPr>
        <w:fldChar w:fldCharType="end"/>
      </w:r>
    </w:p>
    <w:p w14:paraId="0BF904C0">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_Toc1510 </w:instrText>
      </w:r>
      <w:r>
        <w:rPr>
          <w:rFonts w:hint="eastAsia" w:ascii="宋体" w:hAnsi="宋体" w:cs="宋体"/>
          <w:i/>
          <w:caps/>
          <w:szCs w:val="24"/>
        </w:rPr>
        <w:fldChar w:fldCharType="separate"/>
      </w:r>
      <w:r>
        <w:rPr>
          <w:rFonts w:hint="eastAsia"/>
          <w:szCs w:val="28"/>
          <w:highlight w:val="none"/>
        </w:rPr>
        <w:t>4.</w:t>
      </w:r>
      <w:r>
        <w:rPr>
          <w:rFonts w:hint="eastAsia"/>
          <w:szCs w:val="28"/>
          <w:highlight w:val="none"/>
          <w:lang w:val="en-US" w:eastAsia="zh-CN"/>
        </w:rPr>
        <w:t>2</w:t>
      </w:r>
      <w:r>
        <w:rPr>
          <w:rFonts w:hint="eastAsia" w:ascii="宋体" w:hAnsi="宋体" w:cs="宋体"/>
          <w:szCs w:val="28"/>
          <w:highlight w:val="none"/>
          <w:lang w:val="en-US" w:eastAsia="zh-CN"/>
        </w:rPr>
        <w:t>管理和履约</w:t>
      </w:r>
      <w:r>
        <w:rPr>
          <w:rFonts w:hint="eastAsia" w:ascii="宋体" w:hAnsi="宋体" w:cs="宋体"/>
          <w:szCs w:val="28"/>
          <w:highlight w:val="none"/>
        </w:rPr>
        <w:t>要求</w:t>
      </w:r>
      <w:r>
        <w:tab/>
      </w:r>
      <w:r>
        <w:fldChar w:fldCharType="begin"/>
      </w:r>
      <w:r>
        <w:instrText xml:space="preserve"> PAGEREF _Toc1510 \h </w:instrText>
      </w:r>
      <w:r>
        <w:fldChar w:fldCharType="separate"/>
      </w:r>
      <w:r>
        <w:t>13</w:t>
      </w:r>
      <w:r>
        <w:fldChar w:fldCharType="end"/>
      </w:r>
      <w:r>
        <w:rPr>
          <w:rFonts w:hint="eastAsia" w:ascii="宋体" w:hAnsi="宋体" w:cs="宋体"/>
          <w:i/>
          <w:caps/>
          <w:szCs w:val="24"/>
        </w:rPr>
        <w:fldChar w:fldCharType="end"/>
      </w:r>
    </w:p>
    <w:p w14:paraId="51784D2B">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_Toc17556 </w:instrText>
      </w:r>
      <w:r>
        <w:rPr>
          <w:rFonts w:hint="eastAsia" w:ascii="宋体" w:hAnsi="宋体" w:cs="宋体"/>
          <w:i/>
          <w:caps/>
          <w:szCs w:val="24"/>
        </w:rPr>
        <w:fldChar w:fldCharType="separate"/>
      </w:r>
      <w:r>
        <w:rPr>
          <w:rFonts w:hint="eastAsia"/>
        </w:rPr>
        <w:t>第5章 评分标准</w:t>
      </w:r>
      <w:r>
        <w:tab/>
      </w:r>
      <w:r>
        <w:fldChar w:fldCharType="begin"/>
      </w:r>
      <w:r>
        <w:instrText xml:space="preserve"> PAGEREF _Toc17556 \h </w:instrText>
      </w:r>
      <w:r>
        <w:fldChar w:fldCharType="separate"/>
      </w:r>
      <w:r>
        <w:t>13</w:t>
      </w:r>
      <w:r>
        <w:fldChar w:fldCharType="end"/>
      </w:r>
      <w:r>
        <w:rPr>
          <w:rFonts w:hint="eastAsia" w:ascii="宋体" w:hAnsi="宋体" w:cs="宋体"/>
          <w:i/>
          <w:caps/>
          <w:szCs w:val="24"/>
        </w:rPr>
        <w:fldChar w:fldCharType="end"/>
      </w:r>
    </w:p>
    <w:p w14:paraId="52FDAF82">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_Toc4757 </w:instrText>
      </w:r>
      <w:r>
        <w:rPr>
          <w:rFonts w:hint="eastAsia" w:ascii="宋体" w:hAnsi="宋体" w:cs="宋体"/>
          <w:i/>
          <w:caps/>
          <w:szCs w:val="24"/>
        </w:rPr>
        <w:fldChar w:fldCharType="separate"/>
      </w:r>
      <w:r>
        <w:rPr>
          <w:rFonts w:hint="eastAsia"/>
        </w:rPr>
        <w:t>第6章 合同签订</w:t>
      </w:r>
      <w:r>
        <w:tab/>
      </w:r>
      <w:r>
        <w:fldChar w:fldCharType="begin"/>
      </w:r>
      <w:r>
        <w:instrText xml:space="preserve"> PAGEREF _Toc4757 \h </w:instrText>
      </w:r>
      <w:r>
        <w:fldChar w:fldCharType="separate"/>
      </w:r>
      <w:r>
        <w:t>14</w:t>
      </w:r>
      <w:r>
        <w:fldChar w:fldCharType="end"/>
      </w:r>
      <w:r>
        <w:rPr>
          <w:rFonts w:hint="eastAsia" w:ascii="宋体" w:hAnsi="宋体" w:cs="宋体"/>
          <w:i/>
          <w:caps/>
          <w:szCs w:val="24"/>
        </w:rPr>
        <w:fldChar w:fldCharType="end"/>
      </w:r>
    </w:p>
    <w:p w14:paraId="6A840ED4">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_Toc25634 </w:instrText>
      </w:r>
      <w:r>
        <w:rPr>
          <w:rFonts w:hint="eastAsia" w:ascii="宋体" w:hAnsi="宋体" w:cs="宋体"/>
          <w:i/>
          <w:caps/>
          <w:szCs w:val="24"/>
        </w:rPr>
        <w:fldChar w:fldCharType="separate"/>
      </w:r>
      <w:r>
        <w:rPr>
          <w:rFonts w:hint="eastAsia"/>
        </w:rPr>
        <w:t>第</w:t>
      </w:r>
      <w:r>
        <w:rPr>
          <w:rFonts w:hint="eastAsia"/>
          <w:lang w:val="en-US" w:eastAsia="zh-CN"/>
        </w:rPr>
        <w:t>7</w:t>
      </w:r>
      <w:r>
        <w:rPr>
          <w:rFonts w:hint="eastAsia"/>
        </w:rPr>
        <w:t>章  附件</w:t>
      </w:r>
      <w:r>
        <w:rPr>
          <w:rFonts w:hint="eastAsia"/>
          <w:lang w:val="en-US" w:eastAsia="zh-CN"/>
        </w:rPr>
        <w:t>明细</w:t>
      </w:r>
      <w:r>
        <w:tab/>
      </w:r>
      <w:r>
        <w:fldChar w:fldCharType="begin"/>
      </w:r>
      <w:r>
        <w:instrText xml:space="preserve"> PAGEREF _Toc25634 \h </w:instrText>
      </w:r>
      <w:r>
        <w:fldChar w:fldCharType="separate"/>
      </w:r>
      <w:r>
        <w:t>15</w:t>
      </w:r>
      <w:r>
        <w:fldChar w:fldCharType="end"/>
      </w:r>
      <w:r>
        <w:rPr>
          <w:rFonts w:hint="eastAsia" w:ascii="宋体" w:hAnsi="宋体" w:cs="宋体"/>
          <w:i/>
          <w:caps/>
          <w:szCs w:val="24"/>
        </w:rPr>
        <w:fldChar w:fldCharType="end"/>
      </w:r>
    </w:p>
    <w:p w14:paraId="27929711">
      <w:pPr>
        <w:pStyle w:val="2"/>
        <w:numPr>
          <w:ilvl w:val="0"/>
          <w:numId w:val="0"/>
        </w:numPr>
        <w:rPr>
          <w:rFonts w:ascii="宋体" w:hAnsi="宋体" w:cs="宋体"/>
          <w:i/>
          <w:caps/>
          <w:szCs w:val="24"/>
        </w:rPr>
        <w:sectPr>
          <w:headerReference r:id="rId3" w:type="default"/>
          <w:footerReference r:id="rId4" w:type="default"/>
          <w:pgSz w:w="11907" w:h="16840"/>
          <w:pgMar w:top="1025" w:right="1418" w:bottom="1418" w:left="1418" w:header="724" w:footer="851" w:gutter="0"/>
          <w:pgNumType w:start="1"/>
          <w:cols w:space="720" w:num="1"/>
          <w:docGrid w:linePitch="290" w:charSpace="-3931"/>
        </w:sectPr>
      </w:pPr>
      <w:r>
        <w:rPr>
          <w:rFonts w:hint="eastAsia" w:ascii="宋体" w:hAnsi="宋体" w:cs="宋体"/>
          <w:i/>
          <w:caps/>
          <w:szCs w:val="24"/>
        </w:rPr>
        <w:fldChar w:fldCharType="end"/>
      </w:r>
    </w:p>
    <w:p w14:paraId="43DD3C44">
      <w:pPr>
        <w:pStyle w:val="15"/>
        <w:ind w:left="420"/>
      </w:pPr>
      <w:bookmarkStart w:id="0" w:name="_Toc11033"/>
      <w:bookmarkStart w:id="1" w:name="_Toc131681868"/>
      <w:bookmarkStart w:id="2" w:name="_Toc18724"/>
      <w:bookmarkStart w:id="3" w:name="_Toc25259"/>
      <w:bookmarkStart w:id="4" w:name="_Toc26651"/>
      <w:bookmarkStart w:id="5" w:name="_Toc31260"/>
      <w:bookmarkStart w:id="6" w:name="_Toc29758"/>
      <w:bookmarkStart w:id="7" w:name="_Toc2075"/>
      <w:bookmarkStart w:id="8" w:name="_Toc12144"/>
      <w:r>
        <w:rPr>
          <w:rFonts w:hint="eastAsia"/>
        </w:rPr>
        <w:t>招标公告</w:t>
      </w:r>
      <w:bookmarkEnd w:id="0"/>
      <w:bookmarkEnd w:id="1"/>
      <w:bookmarkEnd w:id="2"/>
      <w:bookmarkEnd w:id="3"/>
      <w:bookmarkEnd w:id="4"/>
      <w:bookmarkEnd w:id="5"/>
    </w:p>
    <w:p w14:paraId="13057CA3">
      <w:pPr>
        <w:pStyle w:val="19"/>
        <w:numPr>
          <w:ilvl w:val="0"/>
          <w:numId w:val="3"/>
        </w:numPr>
        <w:tabs>
          <w:tab w:val="right" w:leader="dot" w:pos="9061"/>
        </w:tabs>
        <w:spacing w:line="360" w:lineRule="auto"/>
        <w:ind w:firstLineChars="0"/>
        <w:jc w:val="center"/>
        <w:outlineLvl w:val="0"/>
        <w:rPr>
          <w:b/>
          <w:iCs/>
          <w:vanish/>
          <w:szCs w:val="20"/>
        </w:rPr>
      </w:pPr>
      <w:bookmarkStart w:id="9" w:name="_Toc129692631"/>
      <w:bookmarkEnd w:id="9"/>
      <w:bookmarkStart w:id="10" w:name="_Toc142573010"/>
      <w:bookmarkEnd w:id="10"/>
      <w:bookmarkStart w:id="11" w:name="_Toc129693362"/>
      <w:bookmarkEnd w:id="11"/>
      <w:bookmarkStart w:id="12" w:name="_Toc129693878"/>
      <w:bookmarkEnd w:id="12"/>
      <w:bookmarkStart w:id="13" w:name="_Toc142573102"/>
      <w:bookmarkEnd w:id="13"/>
      <w:bookmarkStart w:id="14" w:name="_Toc129697415"/>
      <w:bookmarkEnd w:id="14"/>
      <w:bookmarkStart w:id="15" w:name="_Toc129695594"/>
      <w:bookmarkEnd w:id="15"/>
      <w:bookmarkStart w:id="16" w:name="_Toc142572964"/>
      <w:bookmarkEnd w:id="16"/>
      <w:bookmarkStart w:id="17" w:name="_Toc142573471"/>
      <w:bookmarkEnd w:id="17"/>
      <w:bookmarkStart w:id="18" w:name="_Toc142573635"/>
      <w:bookmarkEnd w:id="18"/>
      <w:bookmarkStart w:id="19" w:name="_Toc131681869"/>
      <w:bookmarkEnd w:id="19"/>
      <w:bookmarkStart w:id="20" w:name="_Toc129692714"/>
      <w:bookmarkEnd w:id="20"/>
      <w:bookmarkStart w:id="21" w:name="_Toc129688947"/>
      <w:bookmarkEnd w:id="21"/>
      <w:bookmarkStart w:id="22" w:name="_Toc129692777"/>
      <w:bookmarkEnd w:id="22"/>
      <w:bookmarkStart w:id="23" w:name="_Toc142572929"/>
      <w:bookmarkEnd w:id="23"/>
    </w:p>
    <w:p w14:paraId="5E3AB715">
      <w:pPr>
        <w:pStyle w:val="3"/>
        <w:spacing w:before="0" w:beforeLines="0" w:line="360" w:lineRule="auto"/>
        <w:ind w:firstLine="482"/>
        <w:rPr>
          <w:rFonts w:hint="eastAsia" w:eastAsia="宋体"/>
          <w:sz w:val="28"/>
          <w:szCs w:val="28"/>
        </w:rPr>
      </w:pPr>
      <w:bookmarkStart w:id="24" w:name="_Toc31025"/>
      <w:bookmarkStart w:id="25" w:name="_Toc27190"/>
      <w:bookmarkStart w:id="26" w:name="_Toc20534"/>
      <w:bookmarkStart w:id="27" w:name="_Toc5397"/>
      <w:bookmarkStart w:id="28" w:name="_Toc131681870"/>
      <w:r>
        <w:rPr>
          <w:rFonts w:hint="eastAsia" w:eastAsia="宋体"/>
          <w:sz w:val="28"/>
          <w:szCs w:val="28"/>
        </w:rPr>
        <w:t>项目名称及项目编号</w:t>
      </w:r>
      <w:bookmarkEnd w:id="24"/>
      <w:bookmarkEnd w:id="25"/>
      <w:bookmarkEnd w:id="26"/>
      <w:bookmarkEnd w:id="27"/>
      <w:bookmarkEnd w:id="28"/>
    </w:p>
    <w:p w14:paraId="6A9CD162">
      <w:pPr>
        <w:numPr>
          <w:ilvl w:val="0"/>
          <w:numId w:val="4"/>
        </w:numPr>
        <w:spacing w:line="360" w:lineRule="auto"/>
        <w:ind w:left="425" w:hanging="425" w:firstLineChars="0"/>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color w:val="000000"/>
          <w:sz w:val="24"/>
          <w:szCs w:val="24"/>
          <w:highlight w:val="none"/>
          <w:lang w:val="en-US" w:eastAsia="zh-CN"/>
        </w:rPr>
        <w:t>中国重汽集团2025年轻型车运输项目</w:t>
      </w:r>
    </w:p>
    <w:p w14:paraId="275CA634">
      <w:pPr>
        <w:numPr>
          <w:ilvl w:val="0"/>
          <w:numId w:val="4"/>
        </w:numPr>
        <w:spacing w:line="360" w:lineRule="auto"/>
        <w:ind w:left="425" w:hanging="425"/>
        <w:jc w:val="left"/>
        <w:rPr>
          <w:rFonts w:hint="eastAsia" w:ascii="宋体" w:hAnsi="宋体" w:cs="宋体"/>
          <w:kern w:val="2"/>
          <w:sz w:val="24"/>
          <w:szCs w:val="24"/>
        </w:rPr>
      </w:pPr>
      <w:r>
        <w:rPr>
          <w:rFonts w:hint="eastAsia" w:ascii="宋体" w:hAnsi="宋体" w:eastAsia="宋体" w:cs="宋体"/>
          <w:kern w:val="2"/>
          <w:sz w:val="24"/>
          <w:szCs w:val="24"/>
          <w:lang w:val="en-US" w:eastAsia="zh-CN" w:bidi="ar-SA"/>
        </w:rPr>
        <w:t>项目编号：CGZX2025090076</w:t>
      </w:r>
    </w:p>
    <w:p w14:paraId="4BE9654E">
      <w:pPr>
        <w:pStyle w:val="3"/>
        <w:spacing w:before="0" w:beforeLines="0" w:line="360" w:lineRule="auto"/>
        <w:ind w:firstLine="482"/>
        <w:rPr>
          <w:sz w:val="28"/>
          <w:szCs w:val="28"/>
          <w:highlight w:val="none"/>
        </w:rPr>
      </w:pPr>
      <w:bookmarkStart w:id="29" w:name="_Toc18096"/>
      <w:bookmarkStart w:id="30" w:name="_Toc24967"/>
      <w:r>
        <w:rPr>
          <w:rFonts w:hint="eastAsia"/>
          <w:sz w:val="28"/>
          <w:szCs w:val="28"/>
        </w:rPr>
        <w:t>招标形式</w:t>
      </w:r>
    </w:p>
    <w:bookmarkEnd w:id="29"/>
    <w:p w14:paraId="6010C812">
      <w:pPr>
        <w:pStyle w:val="3"/>
        <w:numPr>
          <w:ilvl w:val="-1"/>
          <w:numId w:val="0"/>
        </w:numPr>
        <w:spacing w:before="0" w:beforeLines="0" w:line="360" w:lineRule="auto"/>
        <w:ind w:left="0" w:firstLine="480" w:firstLineChars="200"/>
        <w:rPr>
          <w:rFonts w:hint="eastAsia" w:ascii="宋体" w:hAnsi="宋体" w:cs="宋体"/>
          <w:b w:val="0"/>
          <w:color w:val="000000"/>
          <w:sz w:val="24"/>
          <w:szCs w:val="24"/>
          <w:highlight w:val="none"/>
        </w:rPr>
      </w:pPr>
      <w:bookmarkStart w:id="31" w:name="_Toc16079"/>
      <w:bookmarkStart w:id="32" w:name="_Toc131681872"/>
      <w:bookmarkStart w:id="33" w:name="_Toc7478"/>
      <w:r>
        <w:rPr>
          <w:rFonts w:hint="eastAsia" w:ascii="宋体" w:hAnsi="宋体" w:cs="宋体"/>
          <w:b w:val="0"/>
          <w:color w:val="000000"/>
          <w:sz w:val="24"/>
          <w:szCs w:val="24"/>
          <w:highlight w:val="none"/>
          <w:lang w:val="en-US" w:eastAsia="zh-CN"/>
        </w:rPr>
        <w:t>公开招标</w:t>
      </w:r>
      <w:bookmarkEnd w:id="30"/>
    </w:p>
    <w:p w14:paraId="72DB8CA5">
      <w:pPr>
        <w:pStyle w:val="3"/>
        <w:spacing w:before="0" w:beforeLines="0" w:line="360" w:lineRule="auto"/>
        <w:ind w:firstLine="482"/>
        <w:rPr>
          <w:rFonts w:hint="default"/>
          <w:sz w:val="28"/>
          <w:szCs w:val="28"/>
          <w:lang w:val="en-US"/>
        </w:rPr>
      </w:pPr>
      <w:bookmarkStart w:id="34" w:name="_Toc10431"/>
      <w:bookmarkStart w:id="35" w:name="_Toc2194"/>
      <w:r>
        <w:rPr>
          <w:rFonts w:hint="eastAsia"/>
          <w:sz w:val="28"/>
          <w:szCs w:val="28"/>
        </w:rPr>
        <w:t>投标人资格要求</w:t>
      </w:r>
      <w:bookmarkEnd w:id="31"/>
      <w:bookmarkEnd w:id="32"/>
      <w:bookmarkEnd w:id="33"/>
      <w:bookmarkEnd w:id="34"/>
      <w:bookmarkEnd w:id="35"/>
    </w:p>
    <w:p w14:paraId="568BF09A">
      <w:pPr>
        <w:numPr>
          <w:ilvl w:val="0"/>
          <w:numId w:val="5"/>
        </w:numPr>
        <w:spacing w:line="360" w:lineRule="auto"/>
        <w:ind w:left="425" w:leftChars="0" w:hanging="425" w:firstLineChars="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lang w:val="en-US" w:eastAsia="zh-CN"/>
        </w:rPr>
        <w:t>需具备以下条件方可</w:t>
      </w:r>
      <w:r>
        <w:rPr>
          <w:rFonts w:hint="eastAsia" w:ascii="宋体" w:hAnsi="宋体" w:cs="宋体"/>
          <w:sz w:val="24"/>
          <w:szCs w:val="24"/>
        </w:rPr>
        <w:t>具有参与</w:t>
      </w:r>
      <w:r>
        <w:rPr>
          <w:rFonts w:hint="eastAsia" w:ascii="宋体" w:hAnsi="宋体" w:cs="宋体"/>
          <w:sz w:val="24"/>
          <w:szCs w:val="24"/>
          <w:lang w:val="en-US" w:eastAsia="zh-CN"/>
        </w:rPr>
        <w:t>竞标</w:t>
      </w:r>
      <w:r>
        <w:rPr>
          <w:rFonts w:hint="eastAsia" w:ascii="宋体" w:hAnsi="宋体" w:cs="宋体"/>
          <w:sz w:val="24"/>
          <w:szCs w:val="24"/>
        </w:rPr>
        <w:t>的资格。</w:t>
      </w:r>
    </w:p>
    <w:p w14:paraId="33811454">
      <w:pPr>
        <w:numPr>
          <w:ilvl w:val="0"/>
          <w:numId w:val="6"/>
        </w:numPr>
        <w:spacing w:line="360" w:lineRule="auto"/>
        <w:ind w:left="845" w:leftChars="0" w:hanging="425" w:firstLineChars="0"/>
        <w:rPr>
          <w:rFonts w:ascii="宋体" w:hAnsi="宋体" w:cs="宋体"/>
          <w:sz w:val="24"/>
          <w:szCs w:val="24"/>
        </w:rPr>
      </w:pPr>
      <w:bookmarkStart w:id="36" w:name="_Toc129697429"/>
      <w:r>
        <w:rPr>
          <w:rFonts w:hint="eastAsia" w:ascii="宋体" w:hAnsi="宋体" w:cs="宋体"/>
          <w:color w:val="000000"/>
          <w:sz w:val="24"/>
          <w:szCs w:val="24"/>
        </w:rPr>
        <w:t>投标人须遵守《中华人民共和国招标投标法》、《中华人民共和国民法典》及其它有关的法律和法规；为中华人民共和国境内注册的独立法人机构，具有独立承担民事责任的能力；经营范围满足竞价项目需求；</w:t>
      </w:r>
    </w:p>
    <w:p w14:paraId="6BC126B0">
      <w:pPr>
        <w:numPr>
          <w:ilvl w:val="0"/>
          <w:numId w:val="6"/>
        </w:numPr>
        <w:spacing w:line="360" w:lineRule="auto"/>
        <w:ind w:left="845" w:leftChars="0" w:hanging="425" w:firstLineChars="0"/>
        <w:rPr>
          <w:rFonts w:hint="eastAsia" w:ascii="宋体" w:hAnsi="宋体" w:cs="宋体"/>
          <w:color w:val="000000"/>
          <w:sz w:val="24"/>
          <w:szCs w:val="24"/>
        </w:rPr>
      </w:pPr>
      <w:r>
        <w:rPr>
          <w:rFonts w:hint="eastAsia" w:ascii="宋体" w:hAnsi="宋体" w:cs="宋体"/>
          <w:color w:val="000000"/>
          <w:sz w:val="24"/>
          <w:szCs w:val="24"/>
        </w:rPr>
        <w:t>注册资金不少于</w:t>
      </w:r>
      <w:r>
        <w:rPr>
          <w:rFonts w:hint="eastAsia" w:ascii="宋体" w:hAnsi="宋体" w:cs="宋体"/>
          <w:color w:val="000000"/>
          <w:sz w:val="24"/>
          <w:szCs w:val="24"/>
          <w:lang w:val="en-US" w:eastAsia="zh-CN"/>
        </w:rPr>
        <w:t>1000</w:t>
      </w:r>
      <w:r>
        <w:rPr>
          <w:rFonts w:hint="eastAsia" w:ascii="宋体" w:hAnsi="宋体" w:cs="宋体"/>
          <w:color w:val="000000"/>
          <w:sz w:val="24"/>
          <w:szCs w:val="24"/>
        </w:rPr>
        <w:t>万，投标人须于投标时提供具有统一社会信用代码的营业执照副本原件、复印件及资产负债表(加盖公章)；</w:t>
      </w:r>
    </w:p>
    <w:p w14:paraId="1906E0B8">
      <w:pPr>
        <w:numPr>
          <w:ilvl w:val="0"/>
          <w:numId w:val="6"/>
        </w:numPr>
        <w:spacing w:line="360" w:lineRule="auto"/>
        <w:ind w:left="845" w:hanging="425" w:firstLineChars="0"/>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投标人至少拥有</w:t>
      </w:r>
      <w:r>
        <w:rPr>
          <w:rFonts w:hint="eastAsia" w:ascii="宋体" w:hAnsi="宋体" w:cs="宋体"/>
          <w:color w:val="000000"/>
          <w:sz w:val="24"/>
          <w:szCs w:val="24"/>
          <w:u w:val="none"/>
          <w:lang w:val="en-US" w:eastAsia="zh-CN"/>
        </w:rPr>
        <w:t>20台</w:t>
      </w:r>
      <w:r>
        <w:rPr>
          <w:rFonts w:hint="eastAsia" w:ascii="宋体" w:hAnsi="宋体" w:cs="宋体"/>
          <w:color w:val="000000"/>
          <w:sz w:val="24"/>
          <w:szCs w:val="24"/>
          <w:highlight w:val="none"/>
          <w:u w:val="none"/>
          <w:lang w:val="en-US" w:eastAsia="zh-CN"/>
        </w:rPr>
        <w:t>业务</w:t>
      </w:r>
      <w:r>
        <w:rPr>
          <w:rFonts w:hint="eastAsia" w:ascii="宋体" w:hAnsi="宋体" w:cs="宋体"/>
          <w:color w:val="000000"/>
          <w:sz w:val="24"/>
          <w:szCs w:val="24"/>
          <w:u w:val="none"/>
          <w:lang w:val="en-US" w:eastAsia="zh-CN"/>
        </w:rPr>
        <w:t>所需的</w:t>
      </w:r>
      <w:r>
        <w:rPr>
          <w:rFonts w:hint="eastAsia" w:ascii="宋体" w:hAnsi="宋体" w:cs="宋体"/>
          <w:color w:val="000000"/>
          <w:sz w:val="24"/>
          <w:szCs w:val="24"/>
          <w:highlight w:val="none"/>
          <w:u w:val="none"/>
          <w:lang w:val="en-US" w:eastAsia="zh-CN"/>
        </w:rPr>
        <w:t>板车，具备配送至全国所有省份的能力。需提供板车</w:t>
      </w:r>
      <w:r>
        <w:rPr>
          <w:rFonts w:hint="eastAsia" w:ascii="宋体" w:hAnsi="宋体" w:cs="宋体"/>
          <w:color w:val="000000"/>
          <w:sz w:val="24"/>
          <w:szCs w:val="24"/>
          <w:highlight w:val="none"/>
          <w:u w:val="none"/>
        </w:rPr>
        <w:t>行驶证复印件及对应车辆照片，行驶证中车辆所有者需为投标人公司名称</w:t>
      </w:r>
      <w:r>
        <w:rPr>
          <w:rFonts w:hint="eastAsia" w:ascii="宋体" w:hAnsi="宋体" w:cs="宋体"/>
          <w:color w:val="000000"/>
          <w:sz w:val="24"/>
          <w:szCs w:val="24"/>
          <w:highlight w:val="none"/>
          <w:u w:val="none"/>
          <w:lang w:eastAsia="zh-CN"/>
        </w:rPr>
        <w:t>。</w:t>
      </w:r>
    </w:p>
    <w:p w14:paraId="0EBA1AF4">
      <w:pPr>
        <w:numPr>
          <w:ilvl w:val="0"/>
          <w:numId w:val="6"/>
        </w:numPr>
        <w:spacing w:line="360" w:lineRule="auto"/>
        <w:ind w:left="845" w:hanging="425" w:firstLineChars="0"/>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highlight w:val="none"/>
          <w:u w:val="none"/>
        </w:rPr>
        <w:t>轿运车保险合同及货运保险合同</w:t>
      </w:r>
      <w:r>
        <w:rPr>
          <w:rFonts w:hint="eastAsia" w:ascii="宋体" w:hAnsi="宋体" w:cs="宋体"/>
          <w:color w:val="000000"/>
          <w:sz w:val="24"/>
          <w:szCs w:val="24"/>
          <w:highlight w:val="none"/>
          <w:u w:val="none"/>
          <w:lang w:eastAsia="zh-CN"/>
        </w:rPr>
        <w:t>；</w:t>
      </w:r>
    </w:p>
    <w:p w14:paraId="5EEF4352">
      <w:pPr>
        <w:numPr>
          <w:ilvl w:val="0"/>
          <w:numId w:val="6"/>
        </w:numPr>
        <w:spacing w:line="360" w:lineRule="auto"/>
        <w:ind w:left="845" w:leftChars="0" w:hanging="425" w:firstLineChars="0"/>
        <w:rPr>
          <w:rFonts w:hint="eastAsia" w:ascii="宋体" w:hAnsi="宋体" w:cs="宋体"/>
          <w:color w:val="000000"/>
          <w:sz w:val="24"/>
          <w:szCs w:val="24"/>
          <w:lang w:eastAsia="zh-CN"/>
        </w:rPr>
      </w:pPr>
      <w:r>
        <w:rPr>
          <w:rFonts w:hint="eastAsia" w:ascii="宋体" w:hAnsi="宋体" w:cs="宋体"/>
          <w:color w:val="000000"/>
          <w:sz w:val="24"/>
          <w:szCs w:val="24"/>
        </w:rPr>
        <w:t>投标人需提供</w:t>
      </w:r>
      <w:r>
        <w:rPr>
          <w:rFonts w:hint="eastAsia" w:ascii="宋体" w:hAnsi="宋体" w:cs="宋体"/>
          <w:color w:val="000000"/>
          <w:sz w:val="24"/>
          <w:szCs w:val="24"/>
          <w:lang w:eastAsia="zh-CN"/>
        </w:rPr>
        <w:t>：</w:t>
      </w:r>
    </w:p>
    <w:p w14:paraId="04E9B49A">
      <w:pPr>
        <w:numPr>
          <w:ilvl w:val="0"/>
          <w:numId w:val="7"/>
        </w:numPr>
        <w:spacing w:line="360" w:lineRule="auto"/>
        <w:ind w:left="1265" w:leftChars="0" w:hanging="425" w:firstLineChars="0"/>
        <w:rPr>
          <w:rFonts w:hint="eastAsia" w:ascii="宋体" w:hAnsi="宋体" w:cs="宋体"/>
          <w:color w:val="000000"/>
          <w:sz w:val="24"/>
          <w:szCs w:val="24"/>
        </w:rPr>
      </w:pPr>
      <w:r>
        <w:rPr>
          <w:rFonts w:hint="eastAsia" w:ascii="宋体" w:hAnsi="宋体" w:cs="宋体"/>
          <w:color w:val="000000"/>
          <w:sz w:val="24"/>
          <w:szCs w:val="24"/>
        </w:rPr>
        <w:t>《道路运输经营许可证》原件及复印件(加盖公章)，并保证行政许可在有效期内；</w:t>
      </w:r>
    </w:p>
    <w:p w14:paraId="177B9C31">
      <w:pPr>
        <w:widowControl w:val="0"/>
        <w:numPr>
          <w:ilvl w:val="0"/>
          <w:numId w:val="7"/>
        </w:numPr>
        <w:spacing w:line="360" w:lineRule="auto"/>
        <w:ind w:left="1265" w:leftChars="0" w:hanging="425"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应提供中文版本的审计报告或财务报表； </w:t>
      </w:r>
    </w:p>
    <w:p w14:paraId="31E0E8E0">
      <w:pPr>
        <w:widowControl w:val="0"/>
        <w:numPr>
          <w:ilvl w:val="0"/>
          <w:numId w:val="7"/>
        </w:numPr>
        <w:spacing w:line="360" w:lineRule="auto"/>
        <w:ind w:left="1265" w:leftChars="0" w:hanging="425"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企业最近半年完税证明、信用证明材料（中国人民银行信用代码证+征信报告）； </w:t>
      </w:r>
    </w:p>
    <w:p w14:paraId="47CC1CE6">
      <w:pPr>
        <w:numPr>
          <w:ilvl w:val="0"/>
          <w:numId w:val="7"/>
        </w:numPr>
        <w:spacing w:line="360" w:lineRule="auto"/>
        <w:ind w:left="1265" w:leftChars="0" w:hanging="425" w:firstLine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年度纳税信用评价信息（可从电子税务局查询截图，需加盖公章）； </w:t>
      </w:r>
    </w:p>
    <w:p w14:paraId="34AE2432">
      <w:pPr>
        <w:numPr>
          <w:ilvl w:val="0"/>
          <w:numId w:val="7"/>
        </w:numPr>
        <w:spacing w:line="360" w:lineRule="auto"/>
        <w:ind w:left="1265" w:leftChars="0" w:hanging="425" w:firstLineChars="0"/>
        <w:rPr>
          <w:rFonts w:hint="eastAsia" w:ascii="宋体" w:hAnsi="宋体" w:cs="宋体"/>
          <w:color w:val="000000"/>
          <w:sz w:val="24"/>
          <w:szCs w:val="24"/>
        </w:rPr>
      </w:pPr>
      <w:r>
        <w:rPr>
          <w:rFonts w:hint="eastAsia" w:ascii="宋体" w:hAnsi="宋体" w:cs="宋体"/>
          <w:color w:val="000000"/>
          <w:sz w:val="24"/>
          <w:szCs w:val="24"/>
          <w:highlight w:val="none"/>
          <w:lang w:val="en-US" w:eastAsia="zh-CN"/>
        </w:rPr>
        <w:t>企业对外担保说明（写明贵单位对外有无对外担保和质押业务，需加盖公章）。</w:t>
      </w:r>
    </w:p>
    <w:p w14:paraId="46F1C601">
      <w:pPr>
        <w:numPr>
          <w:ilvl w:val="0"/>
          <w:numId w:val="6"/>
        </w:numPr>
        <w:spacing w:line="360" w:lineRule="auto"/>
        <w:ind w:left="845" w:leftChars="0" w:hanging="425" w:firstLineChars="0"/>
        <w:rPr>
          <w:rFonts w:hint="eastAsia" w:ascii="宋体" w:hAnsi="宋体" w:cs="宋体"/>
          <w:color w:val="000000"/>
          <w:sz w:val="24"/>
          <w:szCs w:val="24"/>
        </w:rPr>
      </w:pPr>
      <w:r>
        <w:rPr>
          <w:rFonts w:hint="eastAsia" w:ascii="宋体" w:hAnsi="宋体" w:cs="宋体"/>
          <w:color w:val="000000"/>
          <w:sz w:val="24"/>
          <w:szCs w:val="24"/>
        </w:rPr>
        <w:t>投标人在近三年内或成立以来在经营活动中无重大违法、违规的不良记录; 在以往的招投标活动中没有违纪、违规、违约等不良行为，且没有列于山东重工黑名单企业；</w:t>
      </w:r>
      <w:r>
        <w:rPr>
          <w:rFonts w:hint="eastAsia" w:ascii="宋体" w:hAnsi="宋体" w:cs="宋体"/>
          <w:color w:val="000000"/>
          <w:sz w:val="24"/>
          <w:szCs w:val="24"/>
          <w:lang w:val="en-US" w:eastAsia="zh-CN"/>
        </w:rPr>
        <w:t>不得列入国家企业信用信息公示系统经营异常名录信息、严重违法失信企业名单（黑名单），不得列入中国执行信息公开网失信被执行人名单；</w:t>
      </w:r>
    </w:p>
    <w:p w14:paraId="771B190F">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具有健全的财务会计制度，财务状况和市场行为良好。没有处于被有关机关吊销营业执照、吊销资质、停业整顿、取消投标资格以及财产被接管、冻结或进入破产程序等；</w:t>
      </w:r>
    </w:p>
    <w:p w14:paraId="0FF72C41">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投标人须提供法人授权委托书原件及</w:t>
      </w:r>
      <w:r>
        <w:rPr>
          <w:rFonts w:hint="eastAsia" w:ascii="宋体" w:hAnsi="宋体" w:cs="宋体"/>
          <w:color w:val="000000"/>
          <w:sz w:val="24"/>
          <w:szCs w:val="24"/>
          <w:lang w:eastAsia="zh-CN"/>
        </w:rPr>
        <w:t>投标人</w:t>
      </w:r>
      <w:r>
        <w:rPr>
          <w:rFonts w:hint="eastAsia" w:ascii="宋体" w:hAnsi="宋体" w:cs="宋体"/>
          <w:color w:val="000000"/>
          <w:sz w:val="24"/>
          <w:szCs w:val="24"/>
        </w:rPr>
        <w:t>的法定代表人或授权代表的身份证原件；</w:t>
      </w:r>
    </w:p>
    <w:p w14:paraId="6E084C09">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投标人须具有履行合同所必须的设备、财务、技术、服务等方面的资质和能力；</w:t>
      </w:r>
    </w:p>
    <w:p w14:paraId="045637FC">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投标人须具有完全履行投标文件的所有要求的能力；认可业务单位的工作指令，包括节假日能正常开展工作的要求；</w:t>
      </w:r>
    </w:p>
    <w:p w14:paraId="2E888B18">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投标人必须是最终投标、签订合同的单位，不得以任何理由将已中标项目以任何形式转包、分包给其他单位；</w:t>
      </w:r>
    </w:p>
    <w:p w14:paraId="6A03CC50">
      <w:pPr>
        <w:numPr>
          <w:ilvl w:val="0"/>
          <w:numId w:val="6"/>
        </w:numPr>
        <w:spacing w:line="360" w:lineRule="auto"/>
        <w:ind w:left="845" w:leftChars="0" w:hanging="425" w:firstLineChars="0"/>
        <w:rPr>
          <w:rFonts w:ascii="宋体" w:hAnsi="宋体" w:cs="宋体"/>
          <w:color w:val="000000"/>
          <w:sz w:val="24"/>
          <w:szCs w:val="24"/>
        </w:rPr>
      </w:pPr>
      <w:r>
        <w:rPr>
          <w:rFonts w:hint="eastAsia" w:ascii="宋体" w:hAnsi="宋体" w:cs="宋体"/>
          <w:color w:val="000000"/>
          <w:sz w:val="24"/>
          <w:szCs w:val="24"/>
        </w:rPr>
        <w:t>本次招标项目不接受联合体投标；</w:t>
      </w:r>
    </w:p>
    <w:p w14:paraId="3468BF2B">
      <w:pPr>
        <w:numPr>
          <w:ilvl w:val="0"/>
          <w:numId w:val="6"/>
        </w:numPr>
        <w:spacing w:line="360" w:lineRule="auto"/>
        <w:ind w:left="845" w:leftChars="0" w:hanging="425" w:firstLineChars="0"/>
        <w:rPr>
          <w:rFonts w:ascii="宋体" w:hAnsi="宋体" w:cs="宋体"/>
          <w:color w:val="000000"/>
          <w:sz w:val="24"/>
          <w:szCs w:val="24"/>
        </w:rPr>
      </w:pPr>
      <w:r>
        <w:rPr>
          <w:rFonts w:hint="eastAsia" w:ascii="宋体" w:hAnsi="宋体" w:cs="宋体"/>
          <w:color w:val="000000"/>
          <w:sz w:val="24"/>
          <w:szCs w:val="24"/>
        </w:rPr>
        <w:t>法人授权委托书及被授权人的身份证；法人到场的提供法定代表人资格证明文件和身份证；</w:t>
      </w:r>
    </w:p>
    <w:p w14:paraId="3119779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14:paraId="3823BE83">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如出现因</w:t>
      </w:r>
      <w:r>
        <w:rPr>
          <w:rFonts w:hint="eastAsia" w:ascii="宋体" w:hAnsi="宋体" w:cs="宋体"/>
          <w:sz w:val="24"/>
          <w:szCs w:val="24"/>
          <w:lang w:eastAsia="zh-CN"/>
        </w:rPr>
        <w:t>中标单位</w:t>
      </w:r>
      <w:r>
        <w:rPr>
          <w:rFonts w:hint="eastAsia" w:ascii="宋体" w:hAnsi="宋体" w:cs="宋体"/>
          <w:sz w:val="24"/>
          <w:szCs w:val="24"/>
        </w:rPr>
        <w:t>漏报或少报而造成的一切经济后果，由</w:t>
      </w:r>
      <w:r>
        <w:rPr>
          <w:rFonts w:hint="eastAsia" w:ascii="宋体" w:hAnsi="宋体" w:cs="宋体"/>
          <w:sz w:val="24"/>
          <w:szCs w:val="24"/>
          <w:lang w:eastAsia="zh-CN"/>
        </w:rPr>
        <w:t>中标单位</w:t>
      </w:r>
      <w:r>
        <w:rPr>
          <w:rFonts w:hint="eastAsia" w:ascii="宋体" w:hAnsi="宋体" w:cs="宋体"/>
          <w:sz w:val="24"/>
          <w:szCs w:val="24"/>
        </w:rPr>
        <w:t>自行负责。</w:t>
      </w:r>
    </w:p>
    <w:p w14:paraId="10D57E96">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若</w:t>
      </w:r>
      <w:r>
        <w:rPr>
          <w:rFonts w:hint="eastAsia" w:ascii="宋体" w:hAnsi="宋体" w:cs="宋体"/>
          <w:sz w:val="24"/>
          <w:szCs w:val="24"/>
          <w:lang w:eastAsia="zh-CN"/>
        </w:rPr>
        <w:t>中标单位</w:t>
      </w:r>
      <w:r>
        <w:rPr>
          <w:rFonts w:hint="eastAsia" w:ascii="宋体" w:hAnsi="宋体" w:cs="宋体"/>
          <w:sz w:val="24"/>
          <w:szCs w:val="24"/>
        </w:rPr>
        <w:t>在签订合同时，坚持提出附加条件或不合理要求的，招标人有权取消其中标资格，由此产生的该</w:t>
      </w:r>
      <w:r>
        <w:rPr>
          <w:rFonts w:hint="eastAsia" w:ascii="宋体" w:hAnsi="宋体" w:cs="宋体"/>
          <w:sz w:val="24"/>
          <w:szCs w:val="24"/>
          <w:lang w:eastAsia="zh-CN"/>
        </w:rPr>
        <w:t>中标单位</w:t>
      </w:r>
      <w:r>
        <w:rPr>
          <w:rFonts w:hint="eastAsia" w:ascii="宋体" w:hAnsi="宋体" w:cs="宋体"/>
          <w:sz w:val="24"/>
          <w:szCs w:val="24"/>
        </w:rPr>
        <w:t>损失由该</w:t>
      </w:r>
      <w:r>
        <w:rPr>
          <w:rFonts w:hint="eastAsia" w:ascii="宋体" w:hAnsi="宋体" w:cs="宋体"/>
          <w:sz w:val="24"/>
          <w:szCs w:val="24"/>
          <w:lang w:eastAsia="zh-CN"/>
        </w:rPr>
        <w:t>中标单位</w:t>
      </w:r>
      <w:r>
        <w:rPr>
          <w:rFonts w:hint="eastAsia" w:ascii="宋体" w:hAnsi="宋体" w:cs="宋体"/>
          <w:sz w:val="24"/>
          <w:szCs w:val="24"/>
        </w:rPr>
        <w:t>自负，并且招标人有权</w:t>
      </w:r>
      <w:r>
        <w:rPr>
          <w:rFonts w:hint="eastAsia" w:ascii="宋体" w:hAnsi="宋体" w:cs="宋体"/>
          <w:sz w:val="24"/>
          <w:szCs w:val="24"/>
          <w:lang w:val="en-US" w:eastAsia="zh-CN"/>
        </w:rPr>
        <w:t>扣除其投标保证金并</w:t>
      </w:r>
      <w:r>
        <w:rPr>
          <w:rFonts w:hint="eastAsia" w:ascii="宋体" w:hAnsi="宋体" w:cs="宋体"/>
          <w:sz w:val="24"/>
          <w:szCs w:val="24"/>
        </w:rPr>
        <w:t>将由此产生的招标人损失（包括经济上的损失和工期上的损失）向该</w:t>
      </w:r>
      <w:r>
        <w:rPr>
          <w:rFonts w:hint="eastAsia" w:ascii="宋体" w:hAnsi="宋体" w:cs="宋体"/>
          <w:sz w:val="24"/>
          <w:szCs w:val="24"/>
          <w:lang w:eastAsia="zh-CN"/>
        </w:rPr>
        <w:t>中标单位</w:t>
      </w:r>
      <w:r>
        <w:rPr>
          <w:rFonts w:hint="eastAsia" w:ascii="宋体" w:hAnsi="宋体" w:cs="宋体"/>
          <w:sz w:val="24"/>
          <w:szCs w:val="24"/>
        </w:rPr>
        <w:t>索赔。</w:t>
      </w:r>
    </w:p>
    <w:p w14:paraId="3BD78ECE">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投标人应视需要至招标人处详细了解与本次招标项目有关的全部文件及制度</w:t>
      </w:r>
      <w:r>
        <w:rPr>
          <w:rFonts w:hint="eastAsia" w:ascii="宋体" w:hAnsi="宋体" w:cs="宋体"/>
          <w:sz w:val="24"/>
          <w:szCs w:val="24"/>
          <w:lang w:eastAsia="zh-CN"/>
        </w:rPr>
        <w:t>（</w:t>
      </w:r>
      <w:r>
        <w:rPr>
          <w:rFonts w:hint="eastAsia" w:ascii="宋体" w:hAnsi="宋体" w:cs="宋体"/>
          <w:sz w:val="24"/>
          <w:szCs w:val="24"/>
          <w:lang w:val="en-US" w:eastAsia="zh-CN"/>
        </w:rPr>
        <w:t>包含所有附件</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包括但不限于</w:t>
      </w:r>
      <w:r>
        <w:rPr>
          <w:rFonts w:hint="eastAsia" w:ascii="宋体" w:hAnsi="宋体" w:cs="宋体"/>
          <w:sz w:val="24"/>
          <w:szCs w:val="24"/>
        </w:rPr>
        <w:t>《商品车运输合同》的全部内容，</w:t>
      </w:r>
      <w:r>
        <w:rPr>
          <w:rFonts w:hint="eastAsia" w:ascii="宋体" w:hAnsi="宋体" w:cs="宋体"/>
          <w:sz w:val="24"/>
          <w:szCs w:val="24"/>
          <w:lang w:val="en-US" w:eastAsia="zh-CN"/>
        </w:rPr>
        <w:t>并同意全部文件及制度中的</w:t>
      </w:r>
      <w:r>
        <w:rPr>
          <w:rFonts w:hint="eastAsia" w:ascii="宋体" w:hAnsi="宋体" w:cs="宋体"/>
          <w:sz w:val="24"/>
          <w:szCs w:val="24"/>
        </w:rPr>
        <w:t xml:space="preserve">各项条款。            </w:t>
      </w:r>
    </w:p>
    <w:p w14:paraId="378AFFC2">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投标人应承担其在投标准备、编制、递交投标文件和签订合同协议的整个过程的一切费用而不论其投标结果如何。</w:t>
      </w:r>
    </w:p>
    <w:p w14:paraId="279115A0">
      <w:pPr>
        <w:numPr>
          <w:ilvl w:val="0"/>
          <w:numId w:val="5"/>
        </w:numPr>
        <w:spacing w:line="360" w:lineRule="auto"/>
        <w:ind w:left="425" w:leftChars="0" w:hanging="425" w:firstLineChars="0"/>
        <w:rPr>
          <w:rFonts w:hint="default" w:ascii="宋体" w:hAnsi="宋体" w:cs="宋体"/>
          <w:sz w:val="24"/>
          <w:szCs w:val="24"/>
          <w:lang w:val="en-US" w:eastAsia="zh-CN"/>
        </w:rPr>
      </w:pPr>
      <w:r>
        <w:rPr>
          <w:rFonts w:hint="eastAsia" w:ascii="宋体" w:hAnsi="宋体" w:cs="宋体"/>
          <w:sz w:val="24"/>
          <w:szCs w:val="24"/>
          <w:lang w:val="en-US" w:eastAsia="zh-CN"/>
        </w:rPr>
        <w:t>投标人应具备三年（2022年及以后）以来从事过乘用车运输的资质（以与主机厂直签合同为准），且没有在业务运营过程中出现重大违规、失信等情况。</w:t>
      </w:r>
    </w:p>
    <w:p w14:paraId="650D5EBB">
      <w:pPr>
        <w:numPr>
          <w:ilvl w:val="0"/>
          <w:numId w:val="5"/>
        </w:numPr>
        <w:spacing w:line="360" w:lineRule="auto"/>
        <w:ind w:left="425" w:leftChars="0" w:hanging="425" w:firstLineChars="0"/>
        <w:rPr>
          <w:rFonts w:hint="default" w:ascii="宋体" w:hAnsi="宋体" w:cs="宋体"/>
          <w:sz w:val="24"/>
          <w:szCs w:val="24"/>
          <w:lang w:val="en-US" w:eastAsia="zh-CN"/>
        </w:rPr>
      </w:pPr>
      <w:r>
        <w:rPr>
          <w:rFonts w:hint="eastAsia" w:ascii="宋体" w:hAnsi="宋体" w:cs="宋体"/>
          <w:sz w:val="24"/>
          <w:szCs w:val="24"/>
          <w:highlight w:val="none"/>
          <w:lang w:val="en-US" w:eastAsia="zh-CN"/>
        </w:rPr>
        <w:t>近3年直采车辆超过500台以上的</w:t>
      </w:r>
      <w:r>
        <w:rPr>
          <w:rFonts w:hint="eastAsia" w:ascii="宋体" w:hAnsi="宋体" w:cs="宋体"/>
          <w:sz w:val="24"/>
          <w:szCs w:val="24"/>
          <w:lang w:val="en-US" w:eastAsia="zh-CN"/>
        </w:rPr>
        <w:t>战略合作伙伴和大客户</w:t>
      </w:r>
      <w:r>
        <w:rPr>
          <w:rFonts w:hint="eastAsia" w:ascii="宋体" w:hAnsi="宋体" w:cs="宋体"/>
          <w:sz w:val="24"/>
          <w:szCs w:val="24"/>
          <w:highlight w:val="none"/>
          <w:lang w:val="en-US" w:eastAsia="zh-CN"/>
        </w:rPr>
        <w:t>，不受第6条限制。</w:t>
      </w:r>
    </w:p>
    <w:p w14:paraId="4547C863">
      <w:pPr>
        <w:numPr>
          <w:ilvl w:val="0"/>
          <w:numId w:val="5"/>
        </w:numPr>
        <w:spacing w:line="360" w:lineRule="auto"/>
        <w:ind w:left="425" w:leftChars="0" w:hanging="425" w:firstLineChars="0"/>
        <w:rPr>
          <w:rFonts w:hint="default" w:ascii="宋体" w:hAnsi="宋体" w:cs="宋体"/>
          <w:sz w:val="24"/>
          <w:szCs w:val="24"/>
          <w:lang w:val="en-US" w:eastAsia="zh-CN"/>
        </w:rPr>
      </w:pPr>
      <w:r>
        <w:rPr>
          <w:rFonts w:hint="default" w:ascii="宋体" w:hAnsi="宋体" w:cs="宋体"/>
          <w:color w:val="000000"/>
          <w:sz w:val="24"/>
          <w:szCs w:val="24"/>
          <w:highlight w:val="none"/>
          <w:lang w:val="en-US" w:eastAsia="zh-CN"/>
        </w:rPr>
        <w:t>中标人瑕疵滞后发现的处理原则。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bookmarkEnd w:id="36"/>
    <w:p w14:paraId="2F0EE3FB">
      <w:pPr>
        <w:pStyle w:val="3"/>
        <w:spacing w:before="0" w:beforeLines="0" w:line="360" w:lineRule="auto"/>
        <w:ind w:firstLine="482"/>
        <w:rPr>
          <w:sz w:val="28"/>
          <w:szCs w:val="28"/>
        </w:rPr>
      </w:pPr>
      <w:bookmarkStart w:id="37" w:name="_Toc21168"/>
      <w:bookmarkStart w:id="38" w:name="_Toc3405"/>
      <w:bookmarkStart w:id="39" w:name="_Toc30539"/>
      <w:bookmarkStart w:id="40" w:name="_Toc22211"/>
      <w:bookmarkStart w:id="41" w:name="_Toc131681873"/>
      <w:r>
        <w:rPr>
          <w:rFonts w:hint="eastAsia"/>
          <w:sz w:val="28"/>
          <w:szCs w:val="28"/>
        </w:rPr>
        <w:t>招标文件的获取</w:t>
      </w:r>
      <w:bookmarkEnd w:id="37"/>
      <w:bookmarkEnd w:id="38"/>
      <w:bookmarkEnd w:id="39"/>
      <w:bookmarkEnd w:id="40"/>
      <w:bookmarkEnd w:id="41"/>
    </w:p>
    <w:p w14:paraId="2D9C8FCC">
      <w:pPr>
        <w:numPr>
          <w:ilvl w:val="0"/>
          <w:numId w:val="8"/>
        </w:numPr>
        <w:spacing w:line="360" w:lineRule="auto"/>
        <w:ind w:left="425" w:leftChars="0" w:hanging="425" w:firstLineChars="0"/>
        <w:rPr>
          <w:rFonts w:ascii="宋体" w:hAnsi="宋体" w:cs="宋体"/>
          <w:color w:val="000000"/>
          <w:sz w:val="24"/>
          <w:szCs w:val="24"/>
          <w:highlight w:val="none"/>
        </w:rPr>
      </w:pPr>
      <w:r>
        <w:rPr>
          <w:rFonts w:hint="eastAsia" w:ascii="宋体" w:hAnsi="宋体" w:cs="宋体"/>
          <w:color w:val="000000"/>
          <w:sz w:val="24"/>
          <w:szCs w:val="24"/>
        </w:rPr>
        <w:t>本次招标公告</w:t>
      </w:r>
      <w:r>
        <w:rPr>
          <w:rFonts w:hint="eastAsia" w:ascii="宋体" w:hAnsi="宋体" w:cs="宋体"/>
          <w:color w:val="000000"/>
          <w:sz w:val="24"/>
          <w:szCs w:val="24"/>
          <w:lang w:val="en-US" w:eastAsia="zh-CN"/>
        </w:rPr>
        <w:t>在</w:t>
      </w:r>
      <w:r>
        <w:rPr>
          <w:rFonts w:hint="eastAsia" w:ascii="宋体" w:hAnsi="宋体" w:cs="宋体"/>
          <w:color w:val="000000"/>
          <w:sz w:val="24"/>
          <w:szCs w:val="24"/>
          <w:highlight w:val="none"/>
        </w:rPr>
        <w:t>山东省阳光采购服务平台</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中国重汽官网</w:t>
      </w:r>
      <w:r>
        <w:rPr>
          <w:rFonts w:hint="eastAsia" w:ascii="宋体" w:hAnsi="宋体" w:cs="宋体"/>
          <w:color w:val="000000"/>
          <w:sz w:val="24"/>
          <w:szCs w:val="24"/>
          <w:highlight w:val="none"/>
        </w:rPr>
        <w:t>发布。</w:t>
      </w:r>
    </w:p>
    <w:p w14:paraId="553156AF">
      <w:pPr>
        <w:pStyle w:val="6"/>
        <w:numPr>
          <w:ilvl w:val="0"/>
          <w:numId w:val="8"/>
        </w:numPr>
        <w:spacing w:line="360" w:lineRule="auto"/>
        <w:ind w:left="425" w:leftChars="0" w:hanging="425" w:firstLineChars="0"/>
        <w:jc w:val="left"/>
        <w:rPr>
          <w:rFonts w:ascii="宋体" w:hAnsi="宋体" w:cs="宋体"/>
          <w:color w:val="000000"/>
          <w:sz w:val="24"/>
          <w:szCs w:val="24"/>
        </w:rPr>
      </w:pPr>
      <w:r>
        <w:rPr>
          <w:rFonts w:hint="eastAsia" w:ascii="宋体" w:hAnsi="宋体" w:cs="宋体"/>
          <w:color w:val="000000"/>
          <w:sz w:val="24"/>
          <w:szCs w:val="24"/>
        </w:rPr>
        <w:t>招标文件获取方式：投标人报名</w:t>
      </w:r>
      <w:r>
        <w:rPr>
          <w:rFonts w:hint="eastAsia" w:ascii="宋体" w:hAnsi="宋体" w:cs="宋体"/>
          <w:color w:val="000000"/>
          <w:sz w:val="24"/>
          <w:szCs w:val="24"/>
          <w:lang w:val="en-US" w:eastAsia="zh-CN"/>
        </w:rPr>
        <w:t>应标成功后</w:t>
      </w:r>
      <w:r>
        <w:rPr>
          <w:rFonts w:hint="eastAsia" w:ascii="宋体" w:hAnsi="宋体" w:cs="宋体"/>
          <w:color w:val="000000"/>
          <w:sz w:val="24"/>
          <w:szCs w:val="24"/>
        </w:rPr>
        <w:t>通过</w:t>
      </w:r>
      <w:r>
        <w:rPr>
          <w:rFonts w:hint="eastAsia" w:ascii="宋体" w:hAnsi="宋体" w:cs="宋体"/>
          <w:sz w:val="24"/>
          <w:szCs w:val="24"/>
        </w:rPr>
        <w:t>中国重汽e采通</w:t>
      </w:r>
      <w:r>
        <w:rPr>
          <w:rFonts w:hint="eastAsia" w:ascii="宋体" w:hAnsi="宋体" w:cs="宋体"/>
          <w:color w:val="000000"/>
          <w:sz w:val="24"/>
          <w:szCs w:val="24"/>
        </w:rPr>
        <w:t>系统自行下载。</w:t>
      </w:r>
    </w:p>
    <w:p w14:paraId="652FFA2C">
      <w:pPr>
        <w:pStyle w:val="6"/>
        <w:numPr>
          <w:ilvl w:val="0"/>
          <w:numId w:val="8"/>
        </w:numPr>
        <w:spacing w:line="360" w:lineRule="auto"/>
        <w:ind w:left="425" w:leftChars="0" w:hanging="425" w:firstLineChars="0"/>
      </w:pPr>
      <w:r>
        <w:rPr>
          <w:rFonts w:hint="eastAsia" w:ascii="宋体" w:hAnsi="宋体" w:cs="宋体"/>
          <w:color w:val="000000"/>
          <w:kern w:val="2"/>
          <w:sz w:val="24"/>
          <w:szCs w:val="24"/>
        </w:rPr>
        <w:t>售价：￥0.0 元，本公告包含的招标文件售价总和。</w:t>
      </w:r>
    </w:p>
    <w:p w14:paraId="004A9ECE">
      <w:pPr>
        <w:pStyle w:val="6"/>
        <w:numPr>
          <w:ilvl w:val="0"/>
          <w:numId w:val="8"/>
        </w:numPr>
        <w:spacing w:line="360" w:lineRule="auto"/>
        <w:ind w:left="425" w:leftChars="0" w:hanging="425" w:firstLineChars="0"/>
        <w:jc w:val="left"/>
        <w:rPr>
          <w:rFonts w:hint="eastAsia" w:ascii="宋体" w:hAnsi="宋体" w:cs="宋体"/>
          <w:kern w:val="2"/>
          <w:sz w:val="24"/>
          <w:szCs w:val="24"/>
        </w:rPr>
      </w:pPr>
      <w:bookmarkStart w:id="42" w:name="_Toc131681877"/>
      <w:bookmarkStart w:id="43" w:name="_Toc15520"/>
      <w:bookmarkStart w:id="44" w:name="_Toc15411"/>
      <w:r>
        <w:rPr>
          <w:rFonts w:hint="eastAsia" w:ascii="宋体" w:hAnsi="宋体" w:cs="宋体"/>
          <w:kern w:val="2"/>
          <w:sz w:val="24"/>
          <w:szCs w:val="24"/>
        </w:rPr>
        <w:t>报名方式：</w:t>
      </w:r>
      <w:r>
        <w:rPr>
          <w:rFonts w:hint="eastAsia" w:ascii="宋体" w:hAnsi="宋体" w:cs="宋体"/>
          <w:kern w:val="2"/>
          <w:sz w:val="24"/>
          <w:szCs w:val="24"/>
          <w:highlight w:val="none"/>
        </w:rPr>
        <w:t>通过注册登陆“中国重汽e采通”进行投标。</w:t>
      </w:r>
    </w:p>
    <w:p w14:paraId="444FD9F8">
      <w:pPr>
        <w:pStyle w:val="6"/>
        <w:spacing w:line="360" w:lineRule="auto"/>
        <w:ind w:left="0" w:leftChars="0" w:firstLine="480"/>
        <w:jc w:val="left"/>
        <w:rPr>
          <w:rStyle w:val="17"/>
          <w:rFonts w:hint="eastAsia" w:ascii="宋体" w:hAnsi="宋体" w:cs="宋体"/>
          <w:color w:val="auto"/>
          <w:kern w:val="2"/>
          <w:sz w:val="24"/>
          <w:szCs w:val="24"/>
          <w:highlight w:val="none"/>
        </w:rPr>
      </w:pPr>
      <w:r>
        <w:rPr>
          <w:rFonts w:hint="eastAsia" w:ascii="宋体" w:hAnsi="宋体" w:cs="宋体"/>
          <w:kern w:val="2"/>
          <w:sz w:val="24"/>
          <w:szCs w:val="24"/>
        </w:rPr>
        <w:t>登陆网址：</w:t>
      </w:r>
      <w:r>
        <w:rPr>
          <w:rFonts w:hint="eastAsia" w:ascii="宋体" w:hAnsi="宋体" w:cs="宋体"/>
          <w:kern w:val="2"/>
          <w:sz w:val="24"/>
          <w:szCs w:val="24"/>
          <w:highlight w:val="none"/>
        </w:rPr>
        <w:fldChar w:fldCharType="begin"/>
      </w:r>
      <w:r>
        <w:rPr>
          <w:rFonts w:hint="eastAsia" w:ascii="宋体" w:hAnsi="宋体" w:cs="宋体"/>
          <w:kern w:val="2"/>
          <w:sz w:val="24"/>
          <w:szCs w:val="24"/>
          <w:highlight w:val="none"/>
        </w:rPr>
        <w:instrText xml:space="preserve"> HYPERLINK "http://ecaitong.sinotruk.com:8012（投标人注册完成审批后，于2023年4月13日17:00前在" </w:instrText>
      </w:r>
      <w:r>
        <w:rPr>
          <w:rFonts w:hint="eastAsia" w:ascii="宋体" w:hAnsi="宋体" w:cs="宋体"/>
          <w:kern w:val="2"/>
          <w:sz w:val="24"/>
          <w:szCs w:val="24"/>
          <w:highlight w:val="none"/>
        </w:rPr>
        <w:fldChar w:fldCharType="separate"/>
      </w:r>
      <w:r>
        <w:rPr>
          <w:rFonts w:hint="eastAsia" w:asciiTheme="minorEastAsia" w:hAnsiTheme="minorEastAsia" w:eastAsiaTheme="minorEastAsia"/>
          <w:sz w:val="24"/>
          <w:szCs w:val="24"/>
          <w:highlight w:val="none"/>
        </w:rPr>
        <w:t>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w:t>
      </w:r>
      <w:r>
        <w:rPr>
          <w:rStyle w:val="17"/>
          <w:rFonts w:hint="eastAsia" w:ascii="宋体" w:hAnsi="宋体" w:cs="宋体"/>
          <w:color w:val="auto"/>
          <w:kern w:val="2"/>
          <w:sz w:val="24"/>
          <w:szCs w:val="24"/>
          <w:highlight w:val="none"/>
        </w:rPr>
        <w:t>（投标人注册完成审批后，于</w:t>
      </w:r>
      <w:r>
        <w:rPr>
          <w:rStyle w:val="17"/>
          <w:rFonts w:hint="eastAsia" w:ascii="宋体" w:hAnsi="宋体" w:cs="宋体"/>
          <w:color w:val="auto"/>
          <w:kern w:val="2"/>
          <w:sz w:val="24"/>
          <w:szCs w:val="24"/>
          <w:highlight w:val="green"/>
          <w:lang w:eastAsia="zh-CN"/>
        </w:rPr>
        <w:t>202</w:t>
      </w:r>
      <w:r>
        <w:rPr>
          <w:rStyle w:val="17"/>
          <w:rFonts w:hint="eastAsia" w:ascii="宋体" w:hAnsi="宋体" w:cs="宋体"/>
          <w:color w:val="auto"/>
          <w:kern w:val="2"/>
          <w:sz w:val="24"/>
          <w:szCs w:val="24"/>
          <w:highlight w:val="green"/>
          <w:lang w:val="en-US" w:eastAsia="zh-CN"/>
        </w:rPr>
        <w:t>5</w:t>
      </w:r>
      <w:r>
        <w:rPr>
          <w:rStyle w:val="17"/>
          <w:rFonts w:hint="eastAsia" w:ascii="宋体" w:hAnsi="宋体" w:cs="宋体"/>
          <w:color w:val="auto"/>
          <w:kern w:val="2"/>
          <w:sz w:val="24"/>
          <w:szCs w:val="24"/>
          <w:highlight w:val="green"/>
        </w:rPr>
        <w:t>年</w:t>
      </w:r>
      <w:r>
        <w:rPr>
          <w:rStyle w:val="17"/>
          <w:rFonts w:hint="eastAsia" w:ascii="宋体" w:hAnsi="宋体" w:cs="宋体"/>
          <w:color w:val="auto"/>
          <w:kern w:val="2"/>
          <w:sz w:val="24"/>
          <w:szCs w:val="24"/>
          <w:highlight w:val="green"/>
          <w:lang w:val="en-US" w:eastAsia="zh-CN"/>
        </w:rPr>
        <w:t>10</w:t>
      </w:r>
      <w:r>
        <w:rPr>
          <w:rFonts w:hint="eastAsia" w:ascii="宋体" w:hAnsi="宋体" w:cs="宋体"/>
          <w:kern w:val="2"/>
          <w:sz w:val="24"/>
          <w:szCs w:val="24"/>
          <w:highlight w:val="green"/>
          <w:lang w:eastAsia="zh-CN"/>
        </w:rPr>
        <w:t>月</w:t>
      </w:r>
      <w:r>
        <w:rPr>
          <w:rStyle w:val="17"/>
          <w:rFonts w:hint="eastAsia" w:ascii="宋体" w:hAnsi="宋体" w:cs="宋体"/>
          <w:color w:val="auto"/>
          <w:kern w:val="2"/>
          <w:sz w:val="24"/>
          <w:szCs w:val="24"/>
          <w:highlight w:val="green"/>
          <w:lang w:val="en-US" w:eastAsia="zh-CN"/>
        </w:rPr>
        <w:t>9</w:t>
      </w:r>
      <w:r>
        <w:rPr>
          <w:rFonts w:hint="eastAsia" w:ascii="宋体" w:hAnsi="宋体" w:cs="宋体"/>
          <w:kern w:val="2"/>
          <w:sz w:val="24"/>
          <w:szCs w:val="24"/>
          <w:highlight w:val="green"/>
        </w:rPr>
        <w:t>日</w:t>
      </w:r>
      <w:r>
        <w:rPr>
          <w:rFonts w:hint="eastAsia" w:ascii="宋体" w:hAnsi="宋体" w:cs="宋体"/>
          <w:kern w:val="2"/>
          <w:sz w:val="24"/>
          <w:szCs w:val="24"/>
          <w:lang w:val="en-US" w:eastAsia="zh-CN"/>
        </w:rPr>
        <w:t>12点</w:t>
      </w:r>
      <w:r>
        <w:rPr>
          <w:rStyle w:val="17"/>
          <w:rFonts w:hint="eastAsia" w:ascii="宋体" w:hAnsi="宋体" w:cs="宋体"/>
          <w:color w:val="auto"/>
          <w:kern w:val="2"/>
          <w:sz w:val="24"/>
          <w:szCs w:val="24"/>
          <w:highlight w:val="none"/>
        </w:rPr>
        <w:t>前在“中国重汽e采通”招投标中心非生产类招投标点击“供应商应标”，逾期系统自动关闭应标）。</w:t>
      </w:r>
      <w:r>
        <w:rPr>
          <w:rStyle w:val="17"/>
          <w:rFonts w:hint="eastAsia" w:ascii="宋体" w:hAnsi="宋体" w:cs="宋体"/>
          <w:color w:val="auto"/>
          <w:kern w:val="2"/>
          <w:sz w:val="24"/>
          <w:szCs w:val="24"/>
          <w:highlight w:val="none"/>
        </w:rPr>
        <w:fldChar w:fldCharType="end"/>
      </w:r>
    </w:p>
    <w:p w14:paraId="4EDF9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0"/>
          <w:sz w:val="24"/>
          <w:szCs w:val="24"/>
          <w:highlight w:val="none"/>
          <w:lang w:val="en-US" w:eastAsia="zh-CN" w:bidi="ar-SA"/>
        </w:rPr>
      </w:pPr>
      <w:r>
        <w:rPr>
          <w:rFonts w:hint="eastAsia" w:cs="Times New Roman" w:asciiTheme="minorEastAsia" w:hAnsiTheme="minorEastAsia" w:eastAsiaTheme="minorEastAsia"/>
          <w:kern w:val="0"/>
          <w:sz w:val="24"/>
          <w:szCs w:val="24"/>
          <w:highlight w:val="none"/>
          <w:lang w:val="en-US" w:eastAsia="zh-CN" w:bidi="ar-SA"/>
        </w:rPr>
        <w:t>投标人应在缴纳投标保证金（</w:t>
      </w:r>
      <w:r>
        <w:rPr>
          <w:rFonts w:hint="eastAsia" w:ascii="宋体" w:hAnsi="宋体" w:cs="宋体"/>
          <w:color w:val="000000"/>
          <w:sz w:val="24"/>
          <w:szCs w:val="24"/>
          <w:highlight w:val="none"/>
          <w:lang w:val="en-US" w:eastAsia="zh-CN"/>
        </w:rPr>
        <w:t>现供方上传《投标保证金承诺函》，见附件1</w:t>
      </w:r>
      <w:r>
        <w:rPr>
          <w:rFonts w:hint="eastAsia" w:cs="Times New Roman" w:asciiTheme="minorEastAsia" w:hAnsiTheme="minorEastAsia" w:eastAsiaTheme="minorEastAsia"/>
          <w:kern w:val="0"/>
          <w:sz w:val="24"/>
          <w:szCs w:val="24"/>
          <w:highlight w:val="none"/>
          <w:lang w:val="en-US" w:eastAsia="zh-CN" w:bidi="ar-SA"/>
        </w:rPr>
        <w:t>）后，通过“中国重汽e采通”（https://ecaitong.sinotruk.com:8012）获取招标文件，于</w:t>
      </w:r>
      <w:r>
        <w:rPr>
          <w:rFonts w:hint="eastAsia" w:cs="Times New Roman" w:asciiTheme="minorEastAsia" w:hAnsiTheme="minorEastAsia" w:eastAsiaTheme="minorEastAsia"/>
          <w:kern w:val="0"/>
          <w:sz w:val="24"/>
          <w:szCs w:val="24"/>
          <w:highlight w:val="green"/>
          <w:lang w:val="en-US" w:eastAsia="zh-CN" w:bidi="ar-SA"/>
        </w:rPr>
        <w:t>2025年</w:t>
      </w:r>
      <w:r>
        <w:rPr>
          <w:rStyle w:val="17"/>
          <w:rFonts w:hint="eastAsia" w:ascii="宋体" w:hAnsi="宋体" w:cs="宋体"/>
          <w:color w:val="auto"/>
          <w:kern w:val="2"/>
          <w:sz w:val="24"/>
          <w:szCs w:val="24"/>
          <w:highlight w:val="green"/>
          <w:lang w:val="en-US" w:eastAsia="zh-CN"/>
        </w:rPr>
        <w:t>10</w:t>
      </w:r>
      <w:r>
        <w:rPr>
          <w:rFonts w:hint="eastAsia" w:cs="Times New Roman" w:asciiTheme="minorEastAsia" w:hAnsiTheme="minorEastAsia" w:eastAsiaTheme="minorEastAsia"/>
          <w:kern w:val="0"/>
          <w:sz w:val="24"/>
          <w:szCs w:val="24"/>
          <w:highlight w:val="green"/>
          <w:lang w:val="en-US" w:eastAsia="zh-CN" w:bidi="ar-SA"/>
        </w:rPr>
        <w:t>月</w:t>
      </w:r>
      <w:r>
        <w:rPr>
          <w:rStyle w:val="17"/>
          <w:rFonts w:hint="eastAsia" w:ascii="宋体" w:hAnsi="宋体" w:cs="宋体"/>
          <w:color w:val="auto"/>
          <w:kern w:val="2"/>
          <w:sz w:val="24"/>
          <w:szCs w:val="24"/>
          <w:highlight w:val="green"/>
          <w:lang w:val="en-US" w:eastAsia="zh-CN"/>
        </w:rPr>
        <w:t>9</w:t>
      </w:r>
      <w:r>
        <w:rPr>
          <w:rFonts w:hint="eastAsia" w:cs="Times New Roman" w:asciiTheme="minorEastAsia" w:hAnsiTheme="minorEastAsia" w:eastAsiaTheme="minorEastAsia"/>
          <w:kern w:val="0"/>
          <w:sz w:val="24"/>
          <w:szCs w:val="24"/>
          <w:highlight w:val="green"/>
          <w:lang w:val="en-US" w:eastAsia="zh-CN" w:bidi="ar-SA"/>
        </w:rPr>
        <w:t>日17点</w:t>
      </w:r>
      <w:r>
        <w:rPr>
          <w:rFonts w:hint="eastAsia" w:cs="Times New Roman" w:asciiTheme="minorEastAsia" w:hAnsiTheme="minorEastAsia" w:eastAsiaTheme="minorEastAsia"/>
          <w:kern w:val="0"/>
          <w:sz w:val="24"/>
          <w:szCs w:val="24"/>
          <w:highlight w:val="none"/>
          <w:lang w:val="en-US" w:eastAsia="zh-CN" w:bidi="ar-SA"/>
        </w:rPr>
        <w:t>（北京时间）前递交投标文件。</w:t>
      </w:r>
    </w:p>
    <w:p w14:paraId="4EEFCD74">
      <w:pPr>
        <w:spacing w:line="360" w:lineRule="auto"/>
        <w:ind w:firstLine="420" w:firstLineChars="200"/>
        <w:rPr>
          <w:rFonts w:hint="eastAsia" w:eastAsia="宋体"/>
          <w:b/>
          <w:shd w:val="clear" w:fill="FFFF00"/>
          <w:lang w:val="en-US" w:eastAsia="zh-CN"/>
        </w:rPr>
      </w:pPr>
      <w:r>
        <w:rPr>
          <w:rFonts w:hint="eastAsia"/>
          <w:highlight w:val="none"/>
        </w:rPr>
        <w:t xml:space="preserve"> </w:t>
      </w:r>
      <w:r>
        <w:rPr>
          <w:rFonts w:hint="eastAsia" w:cs="Times New Roman" w:asciiTheme="minorEastAsia" w:hAnsiTheme="minorEastAsia" w:eastAsiaTheme="minorEastAsia"/>
          <w:kern w:val="0"/>
          <w:sz w:val="24"/>
          <w:szCs w:val="24"/>
          <w:highlight w:val="none"/>
          <w:lang w:val="en-US" w:eastAsia="zh-CN" w:bidi="ar-SA"/>
        </w:rPr>
        <w:t>投标人</w:t>
      </w:r>
      <w:r>
        <w:rPr>
          <w:rFonts w:hint="eastAsia" w:ascii="宋体" w:hAnsi="宋体" w:cs="宋体"/>
          <w:sz w:val="24"/>
          <w:szCs w:val="24"/>
          <w:highlight w:val="none"/>
        </w:rPr>
        <w:t>应标须上传资料：营业执照、道路运输许可证、</w:t>
      </w:r>
      <w:r>
        <w:rPr>
          <w:rFonts w:hint="eastAsia" w:ascii="宋体" w:hAnsi="宋体" w:cs="宋体"/>
          <w:sz w:val="24"/>
          <w:szCs w:val="24"/>
          <w:highlight w:val="none"/>
          <w:lang w:val="en-US" w:eastAsia="zh-CN"/>
        </w:rPr>
        <w:t>至少20台自有板车</w:t>
      </w:r>
      <w:r>
        <w:rPr>
          <w:rFonts w:hint="eastAsia" w:ascii="宋体" w:hAnsi="宋体" w:cs="宋体"/>
          <w:color w:val="000000"/>
          <w:sz w:val="24"/>
          <w:szCs w:val="24"/>
          <w:highlight w:val="none"/>
          <w:u w:val="none"/>
        </w:rPr>
        <w:t>行驶证复印件及车辆照片</w:t>
      </w:r>
      <w:r>
        <w:rPr>
          <w:rFonts w:hint="eastAsia" w:ascii="宋体" w:hAnsi="宋体" w:cs="宋体"/>
          <w:color w:val="000000"/>
          <w:sz w:val="24"/>
          <w:szCs w:val="24"/>
          <w:highlight w:val="none"/>
          <w:u w:val="none"/>
          <w:lang w:eastAsia="zh-CN"/>
        </w:rPr>
        <w:t>、</w:t>
      </w:r>
      <w:r>
        <w:rPr>
          <w:rFonts w:hint="eastAsia" w:ascii="宋体" w:hAnsi="宋体" w:cs="宋体"/>
          <w:color w:val="000000"/>
          <w:sz w:val="24"/>
          <w:szCs w:val="24"/>
          <w:highlight w:val="none"/>
          <w:lang w:val="en-US" w:eastAsia="zh-CN"/>
        </w:rPr>
        <w:t>投标保证金缴纳凭证（现供方上传《投标保证金承诺函》）</w:t>
      </w:r>
      <w:r>
        <w:rPr>
          <w:rFonts w:hint="eastAsia" w:ascii="宋体" w:hAnsi="宋体" w:cs="宋体"/>
          <w:sz w:val="24"/>
          <w:szCs w:val="24"/>
          <w:highlight w:val="none"/>
        </w:rPr>
        <w:t>、三年财务报表</w:t>
      </w:r>
      <w:r>
        <w:rPr>
          <w:rFonts w:hint="eastAsia" w:ascii="宋体" w:hAnsi="宋体" w:cs="宋体"/>
          <w:sz w:val="24"/>
          <w:szCs w:val="24"/>
          <w:highlight w:val="none"/>
          <w:lang w:eastAsia="zh-CN"/>
        </w:rPr>
        <w:t>。</w:t>
      </w:r>
    </w:p>
    <w:p w14:paraId="05C67C6E">
      <w:pPr>
        <w:pStyle w:val="3"/>
        <w:spacing w:before="0" w:beforeLines="0" w:line="360" w:lineRule="auto"/>
        <w:ind w:firstLine="482"/>
        <w:rPr>
          <w:sz w:val="28"/>
          <w:szCs w:val="28"/>
        </w:rPr>
      </w:pPr>
      <w:bookmarkStart w:id="45" w:name="_Toc10474"/>
      <w:bookmarkStart w:id="46" w:name="_Toc28136"/>
      <w:r>
        <w:rPr>
          <w:rFonts w:hint="eastAsia"/>
          <w:sz w:val="28"/>
          <w:szCs w:val="28"/>
        </w:rPr>
        <w:t>投标文件的递交</w:t>
      </w:r>
      <w:bookmarkEnd w:id="42"/>
      <w:bookmarkEnd w:id="43"/>
      <w:bookmarkEnd w:id="44"/>
      <w:bookmarkEnd w:id="45"/>
      <w:bookmarkEnd w:id="46"/>
    </w:p>
    <w:p w14:paraId="3882D567">
      <w:pPr>
        <w:pStyle w:val="20"/>
        <w:numPr>
          <w:ilvl w:val="0"/>
          <w:numId w:val="9"/>
        </w:numPr>
        <w:spacing w:beforeLines="0" w:afterLines="0"/>
        <w:ind w:left="425" w:hanging="425" w:firstLineChars="0"/>
        <w:rPr>
          <w:highlight w:val="none"/>
          <w:u w:val="thick"/>
        </w:rPr>
      </w:pPr>
      <w:bookmarkStart w:id="47" w:name="_Toc129697439"/>
      <w:r>
        <w:rPr>
          <w:rFonts w:hint="eastAsia"/>
        </w:rPr>
        <w:t>投标文件递交的截止时间：</w:t>
      </w:r>
      <w:r>
        <w:rPr>
          <w:rFonts w:hint="eastAsia"/>
          <w:u w:val="thick"/>
        </w:rPr>
        <w:t xml:space="preserve"> </w:t>
      </w:r>
      <w:r>
        <w:rPr>
          <w:rFonts w:hint="eastAsia"/>
          <w:highlight w:val="green"/>
          <w:u w:val="thick"/>
          <w:lang w:val="en-US" w:eastAsia="zh-CN"/>
        </w:rPr>
        <w:t>2025年10月9日</w:t>
      </w:r>
      <w:r>
        <w:rPr>
          <w:rFonts w:hint="eastAsia"/>
          <w:highlight w:val="none"/>
          <w:u w:val="thick"/>
          <w:lang w:val="en-US" w:eastAsia="zh-CN"/>
        </w:rPr>
        <w:t>17：00</w:t>
      </w:r>
      <w:r>
        <w:rPr>
          <w:rFonts w:hint="eastAsia"/>
          <w:highlight w:val="none"/>
          <w:u w:val="thick"/>
        </w:rPr>
        <w:t xml:space="preserve"> </w:t>
      </w:r>
      <w:r>
        <w:rPr>
          <w:rFonts w:hint="eastAsia"/>
          <w:highlight w:val="none"/>
          <w:u w:val="thick"/>
          <w:lang w:eastAsia="zh-CN"/>
        </w:rPr>
        <w:t>。</w:t>
      </w:r>
    </w:p>
    <w:p w14:paraId="4ABCEF02">
      <w:pPr>
        <w:numPr>
          <w:ilvl w:val="0"/>
          <w:numId w:val="9"/>
        </w:numPr>
        <w:wordWrap w:val="0"/>
        <w:spacing w:line="360" w:lineRule="auto"/>
        <w:ind w:left="425" w:hanging="425" w:firstLineChars="0"/>
        <w:rPr>
          <w:highlight w:val="none"/>
        </w:rPr>
      </w:pPr>
      <w:r>
        <w:rPr>
          <w:rFonts w:hint="eastAsia"/>
          <w:kern w:val="0"/>
          <w:sz w:val="24"/>
          <w:szCs w:val="20"/>
          <w:highlight w:val="none"/>
        </w:rPr>
        <w:t xml:space="preserve">递交地点： </w:t>
      </w:r>
      <w:r>
        <w:rPr>
          <w:rFonts w:hint="eastAsia"/>
          <w:highlight w:val="none"/>
          <w:u w:val="thick"/>
        </w:rPr>
        <w:t xml:space="preserve"> </w:t>
      </w:r>
      <w:r>
        <w:rPr>
          <w:rFonts w:hint="eastAsia" w:ascii="宋体" w:hAnsi="宋体" w:cs="宋体"/>
          <w:color w:val="000000"/>
          <w:sz w:val="24"/>
          <w:szCs w:val="24"/>
          <w:highlight w:val="none"/>
          <w:u w:val="thick"/>
        </w:rPr>
        <w:t>线下重汽科技大厦</w:t>
      </w:r>
      <w:r>
        <w:rPr>
          <w:rFonts w:hint="eastAsia" w:ascii="宋体" w:hAnsi="宋体" w:cs="宋体"/>
          <w:color w:val="000000"/>
          <w:sz w:val="24"/>
          <w:szCs w:val="24"/>
          <w:highlight w:val="none"/>
          <w:u w:val="thick"/>
          <w:lang w:val="en-US" w:eastAsia="zh-CN"/>
        </w:rPr>
        <w:t>302</w:t>
      </w:r>
      <w:r>
        <w:rPr>
          <w:rFonts w:hint="eastAsia" w:ascii="宋体" w:hAnsi="宋体" w:cs="宋体"/>
          <w:color w:val="000000"/>
          <w:sz w:val="24"/>
          <w:szCs w:val="24"/>
          <w:highlight w:val="none"/>
          <w:u w:val="thick"/>
        </w:rPr>
        <w:t>会议室</w:t>
      </w:r>
      <w:bookmarkEnd w:id="47"/>
      <w:r>
        <w:rPr>
          <w:rFonts w:hint="eastAsia" w:ascii="宋体" w:hAnsi="宋体" w:cs="宋体"/>
          <w:color w:val="000000"/>
          <w:sz w:val="24"/>
          <w:szCs w:val="24"/>
          <w:highlight w:val="none"/>
          <w:u w:val="thick"/>
        </w:rPr>
        <w:t>，线上同步上传e采通</w:t>
      </w:r>
      <w:r>
        <w:rPr>
          <w:rFonts w:hint="eastAsia" w:ascii="宋体" w:hAnsi="宋体" w:cs="宋体"/>
          <w:color w:val="000000"/>
          <w:sz w:val="24"/>
          <w:szCs w:val="24"/>
          <w:highlight w:val="none"/>
          <w:u w:val="thick"/>
          <w:lang w:eastAsia="zh-CN"/>
        </w:rPr>
        <w:t>。</w:t>
      </w:r>
    </w:p>
    <w:p w14:paraId="0D9A7075">
      <w:pPr>
        <w:pStyle w:val="20"/>
        <w:numPr>
          <w:ilvl w:val="0"/>
          <w:numId w:val="9"/>
        </w:numPr>
        <w:spacing w:beforeLines="0" w:afterLines="0"/>
        <w:ind w:left="425" w:hanging="425" w:firstLineChars="0"/>
      </w:pPr>
      <w:bookmarkStart w:id="48" w:name="_Toc129697440"/>
      <w:r>
        <w:rPr>
          <w:rFonts w:hint="eastAsia"/>
        </w:rPr>
        <w:t>逾期送达的或者未送达指定地点的投标文件，招标人不予受理。</w:t>
      </w:r>
      <w:bookmarkEnd w:id="48"/>
    </w:p>
    <w:p w14:paraId="4A85F643">
      <w:pPr>
        <w:pStyle w:val="3"/>
        <w:spacing w:before="0" w:beforeLines="0" w:line="360" w:lineRule="auto"/>
        <w:ind w:firstLine="482"/>
        <w:rPr>
          <w:sz w:val="28"/>
          <w:szCs w:val="28"/>
          <w:highlight w:val="none"/>
        </w:rPr>
      </w:pPr>
      <w:bookmarkStart w:id="49" w:name="_Toc22006"/>
      <w:bookmarkStart w:id="50" w:name="_Toc10294"/>
      <w:r>
        <w:rPr>
          <w:rFonts w:hint="eastAsia"/>
          <w:sz w:val="28"/>
          <w:szCs w:val="28"/>
          <w:highlight w:val="none"/>
        </w:rPr>
        <w:t>开标时间和地点</w:t>
      </w:r>
      <w:bookmarkEnd w:id="49"/>
      <w:bookmarkEnd w:id="50"/>
    </w:p>
    <w:p w14:paraId="058D3285">
      <w:pPr>
        <w:numPr>
          <w:ilvl w:val="0"/>
          <w:numId w:val="10"/>
        </w:numPr>
        <w:autoSpaceDE w:val="0"/>
        <w:autoSpaceDN w:val="0"/>
        <w:adjustRightInd w:val="0"/>
        <w:snapToGrid w:val="0"/>
        <w:spacing w:line="360" w:lineRule="auto"/>
        <w:ind w:left="425" w:hanging="425"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rPr>
        <w:t>开标时间：</w:t>
      </w:r>
      <w:r>
        <w:rPr>
          <w:rFonts w:hint="eastAsia" w:ascii="宋体" w:hAnsi="宋体" w:cs="宋体"/>
          <w:sz w:val="24"/>
          <w:szCs w:val="24"/>
          <w:highlight w:val="none"/>
          <w:u w:val="thick"/>
          <w:lang w:eastAsia="zh-CN"/>
        </w:rPr>
        <w:t>202</w:t>
      </w:r>
      <w:r>
        <w:rPr>
          <w:rFonts w:hint="eastAsia" w:ascii="宋体" w:hAnsi="宋体" w:cs="宋体"/>
          <w:sz w:val="24"/>
          <w:szCs w:val="24"/>
          <w:highlight w:val="none"/>
          <w:u w:val="thick"/>
          <w:lang w:val="en-US" w:eastAsia="zh-CN"/>
        </w:rPr>
        <w:t>5</w:t>
      </w:r>
      <w:r>
        <w:rPr>
          <w:rFonts w:hint="eastAsia" w:ascii="宋体" w:hAnsi="宋体" w:cs="宋体"/>
          <w:sz w:val="24"/>
          <w:szCs w:val="24"/>
          <w:highlight w:val="none"/>
          <w:u w:val="thick"/>
        </w:rPr>
        <w:t>年</w:t>
      </w:r>
      <w:r>
        <w:rPr>
          <w:rFonts w:hint="eastAsia"/>
          <w:sz w:val="22"/>
          <w:szCs w:val="22"/>
          <w:highlight w:val="green"/>
          <w:u w:val="thick"/>
          <w:lang w:val="en-US" w:eastAsia="zh-CN"/>
        </w:rPr>
        <w:t>10月11日</w:t>
      </w:r>
      <w:r>
        <w:rPr>
          <w:rFonts w:hint="eastAsia" w:ascii="宋体" w:hAnsi="宋体" w:cs="宋体"/>
          <w:sz w:val="24"/>
          <w:szCs w:val="24"/>
          <w:highlight w:val="none"/>
          <w:u w:val="thick"/>
          <w:lang w:eastAsia="zh-CN"/>
        </w:rPr>
        <w:t>上午</w:t>
      </w:r>
      <w:r>
        <w:rPr>
          <w:rFonts w:hint="eastAsia" w:ascii="宋体" w:hAnsi="宋体" w:cs="宋体"/>
          <w:sz w:val="24"/>
          <w:szCs w:val="24"/>
          <w:highlight w:val="none"/>
          <w:u w:val="thick"/>
          <w:lang w:val="en-US" w:eastAsia="zh-CN"/>
        </w:rPr>
        <w:t xml:space="preserve">9：00    </w:t>
      </w:r>
      <w:r>
        <w:rPr>
          <w:rFonts w:hint="eastAsia" w:ascii="宋体" w:hAnsi="宋体" w:cs="宋体"/>
          <w:sz w:val="24"/>
          <w:szCs w:val="24"/>
          <w:highlight w:val="none"/>
          <w:lang w:val="en-US" w:eastAsia="zh-CN"/>
        </w:rPr>
        <w:t xml:space="preserve"> </w:t>
      </w:r>
    </w:p>
    <w:p w14:paraId="5909A78B">
      <w:pPr>
        <w:numPr>
          <w:ilvl w:val="0"/>
          <w:numId w:val="10"/>
        </w:numPr>
        <w:autoSpaceDE w:val="0"/>
        <w:autoSpaceDN w:val="0"/>
        <w:adjustRightInd w:val="0"/>
        <w:snapToGrid w:val="0"/>
        <w:spacing w:line="360" w:lineRule="auto"/>
        <w:ind w:left="425" w:hanging="425" w:firstLineChars="0"/>
        <w:jc w:val="left"/>
        <w:rPr>
          <w:rFonts w:ascii="宋体" w:hAnsi="宋体" w:cs="宋体"/>
          <w:sz w:val="24"/>
          <w:szCs w:val="24"/>
          <w:highlight w:val="none"/>
        </w:rPr>
      </w:pPr>
      <w:r>
        <w:rPr>
          <w:rFonts w:hint="eastAsia" w:ascii="宋体" w:hAnsi="宋体" w:cs="宋体"/>
          <w:sz w:val="24"/>
          <w:szCs w:val="24"/>
          <w:highlight w:val="none"/>
          <w:lang w:eastAsia="zh-CN"/>
        </w:rPr>
        <w:t>开标地点：</w:t>
      </w:r>
      <w:r>
        <w:rPr>
          <w:rFonts w:hint="eastAsia" w:ascii="宋体" w:hAnsi="宋体" w:cs="宋体"/>
          <w:sz w:val="24"/>
          <w:szCs w:val="24"/>
          <w:highlight w:val="none"/>
          <w:u w:val="thick"/>
          <w:lang w:eastAsia="zh-CN"/>
        </w:rPr>
        <w:t>重汽科技大厦</w:t>
      </w:r>
      <w:r>
        <w:rPr>
          <w:rFonts w:hint="eastAsia"/>
          <w:sz w:val="22"/>
          <w:szCs w:val="22"/>
          <w:highlight w:val="green"/>
          <w:u w:val="thick"/>
          <w:lang w:val="en-US" w:eastAsia="zh-CN"/>
        </w:rPr>
        <w:t>302</w:t>
      </w:r>
      <w:r>
        <w:rPr>
          <w:rFonts w:hint="eastAsia" w:ascii="宋体" w:hAnsi="宋体" w:cs="宋体"/>
          <w:sz w:val="24"/>
          <w:szCs w:val="24"/>
          <w:highlight w:val="none"/>
          <w:u w:val="thick"/>
          <w:lang w:eastAsia="zh-CN"/>
        </w:rPr>
        <w:t>会议室、e采通线</w:t>
      </w:r>
      <w:r>
        <w:rPr>
          <w:rFonts w:hint="eastAsia" w:ascii="宋体" w:hAnsi="宋体" w:cs="宋体"/>
          <w:sz w:val="24"/>
          <w:szCs w:val="24"/>
          <w:highlight w:val="none"/>
          <w:u w:val="thick"/>
        </w:rPr>
        <w:t>上</w:t>
      </w:r>
    </w:p>
    <w:p w14:paraId="2CF8A4D2">
      <w:pPr>
        <w:pStyle w:val="3"/>
        <w:spacing w:before="0" w:beforeLines="0" w:line="360" w:lineRule="auto"/>
        <w:ind w:firstLine="482"/>
        <w:rPr>
          <w:sz w:val="28"/>
          <w:szCs w:val="28"/>
        </w:rPr>
      </w:pPr>
      <w:bookmarkStart w:id="51" w:name="_Toc1341"/>
      <w:bookmarkStart w:id="52" w:name="_Toc8732"/>
      <w:r>
        <w:rPr>
          <w:rFonts w:hint="eastAsia"/>
          <w:sz w:val="28"/>
          <w:szCs w:val="28"/>
        </w:rPr>
        <w:t>联系方式</w:t>
      </w:r>
      <w:bookmarkEnd w:id="51"/>
      <w:bookmarkEnd w:id="52"/>
    </w:p>
    <w:p w14:paraId="0906AF64">
      <w:pPr>
        <w:numPr>
          <w:ilvl w:val="0"/>
          <w:numId w:val="11"/>
        </w:numPr>
        <w:spacing w:line="360" w:lineRule="auto"/>
        <w:ind w:left="425" w:hanging="425" w:firstLineChars="0"/>
        <w:jc w:val="left"/>
      </w:pPr>
      <w:r>
        <w:rPr>
          <w:rFonts w:hint="eastAsia" w:ascii="宋体" w:hAnsi="宋体" w:cs="宋体"/>
          <w:color w:val="000000"/>
          <w:sz w:val="24"/>
          <w:szCs w:val="24"/>
        </w:rPr>
        <w:t>技术、商务答疑</w:t>
      </w:r>
    </w:p>
    <w:p w14:paraId="3E6F9994">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rPr>
        <w:t>联 系 人</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国际：王晓东 18853125853    </w:t>
      </w:r>
      <w:r>
        <w:rPr>
          <w:rFonts w:ascii="宋体" w:hAnsi="宋体" w:eastAsia="宋体" w:cs="宋体"/>
          <w:sz w:val="24"/>
          <w:szCs w:val="24"/>
        </w:rPr>
        <w:t>国内</w:t>
      </w:r>
      <w:r>
        <w:rPr>
          <w:rFonts w:hint="eastAsia" w:ascii="宋体" w:hAnsi="宋体" w:eastAsia="宋体" w:cs="宋体"/>
          <w:sz w:val="24"/>
          <w:szCs w:val="24"/>
          <w:lang w:eastAsia="zh-CN"/>
        </w:rPr>
        <w:t>：</w:t>
      </w:r>
      <w:r>
        <w:rPr>
          <w:rFonts w:ascii="宋体" w:hAnsi="宋体" w:eastAsia="宋体" w:cs="宋体"/>
          <w:sz w:val="24"/>
          <w:szCs w:val="24"/>
        </w:rPr>
        <w:t>杨金山 18766156691</w:t>
      </w:r>
      <w:r>
        <w:rPr>
          <w:rFonts w:hint="eastAsia" w:ascii="宋体" w:hAnsi="宋体" w:cs="宋体"/>
          <w:sz w:val="24"/>
          <w:szCs w:val="24"/>
          <w:highlight w:val="none"/>
          <w:lang w:val="en-US" w:eastAsia="zh-CN"/>
        </w:rPr>
        <w:t xml:space="preserve">   </w:t>
      </w:r>
    </w:p>
    <w:p w14:paraId="01BAE9AE">
      <w:pPr>
        <w:numPr>
          <w:ilvl w:val="0"/>
          <w:numId w:val="11"/>
        </w:numPr>
        <w:spacing w:line="360" w:lineRule="auto"/>
        <w:ind w:left="425" w:hanging="425" w:firstLineChars="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中国重汽e采通操作咨询</w:t>
      </w:r>
    </w:p>
    <w:p w14:paraId="2E0863C2">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 xml:space="preserve">李晓斌     </w:t>
      </w:r>
      <w:r>
        <w:rPr>
          <w:rFonts w:hint="eastAsia" w:ascii="宋体" w:hAnsi="宋体" w:cs="宋体"/>
          <w:sz w:val="24"/>
          <w:szCs w:val="24"/>
          <w:highlight w:val="none"/>
        </w:rPr>
        <w:t xml:space="preserve">   联系电话：17860603455</w:t>
      </w:r>
    </w:p>
    <w:p w14:paraId="59BCA517">
      <w:pPr>
        <w:numPr>
          <w:ilvl w:val="0"/>
          <w:numId w:val="11"/>
        </w:numPr>
        <w:spacing w:line="360" w:lineRule="auto"/>
        <w:ind w:left="425" w:hanging="425" w:firstLineChars="0"/>
        <w:jc w:val="left"/>
        <w:rPr>
          <w:highlight w:val="none"/>
        </w:rPr>
      </w:pPr>
      <w:r>
        <w:rPr>
          <w:rFonts w:hint="eastAsia" w:ascii="宋体" w:hAnsi="宋体" w:cs="宋体"/>
          <w:sz w:val="24"/>
          <w:szCs w:val="24"/>
          <w:highlight w:val="none"/>
        </w:rPr>
        <w:t>报名参标网址：</w:t>
      </w:r>
      <w:r>
        <w:rPr>
          <w:rFonts w:hint="eastAsia" w:ascii="宋体" w:hAnsi="宋体" w:cs="宋体"/>
          <w:color w:val="000000"/>
          <w:sz w:val="24"/>
          <w:szCs w:val="24"/>
          <w:highlight w:val="none"/>
        </w:rPr>
        <w:t>http</w:t>
      </w:r>
      <w:r>
        <w:rPr>
          <w:rFonts w:hint="eastAsia" w:ascii="宋体" w:hAnsi="宋体" w:cs="宋体"/>
          <w:color w:val="000000"/>
          <w:sz w:val="24"/>
          <w:szCs w:val="24"/>
          <w:highlight w:val="none"/>
          <w:lang w:val="en-US" w:eastAsia="zh-CN"/>
        </w:rPr>
        <w:t>s</w:t>
      </w:r>
      <w:r>
        <w:rPr>
          <w:rFonts w:hint="eastAsia" w:ascii="宋体" w:hAnsi="宋体" w:cs="宋体"/>
          <w:color w:val="000000"/>
          <w:sz w:val="24"/>
          <w:szCs w:val="24"/>
          <w:highlight w:val="none"/>
        </w:rPr>
        <w:t>://ecaitong.sinotruk.com:8012</w:t>
      </w:r>
    </w:p>
    <w:p w14:paraId="0D4E5AA6">
      <w:pPr>
        <w:pStyle w:val="3"/>
        <w:spacing w:before="0" w:beforeLines="0" w:line="360" w:lineRule="auto"/>
        <w:ind w:firstLine="482"/>
        <w:rPr>
          <w:sz w:val="28"/>
          <w:szCs w:val="28"/>
        </w:rPr>
      </w:pPr>
      <w:bookmarkStart w:id="53" w:name="_Toc2793"/>
      <w:bookmarkStart w:id="54" w:name="_Toc26835"/>
      <w:r>
        <w:rPr>
          <w:rFonts w:hint="eastAsia"/>
          <w:sz w:val="28"/>
          <w:szCs w:val="28"/>
        </w:rPr>
        <w:t>保证金</w:t>
      </w:r>
      <w:bookmarkEnd w:id="53"/>
      <w:bookmarkEnd w:id="54"/>
    </w:p>
    <w:p w14:paraId="745220DE">
      <w:pPr>
        <w:numPr>
          <w:ilvl w:val="0"/>
          <w:numId w:val="12"/>
        </w:numPr>
        <w:spacing w:line="360" w:lineRule="auto"/>
        <w:ind w:left="425" w:hanging="425"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此</w:t>
      </w:r>
      <w:r>
        <w:rPr>
          <w:rFonts w:hint="eastAsia" w:ascii="宋体" w:hAnsi="宋体" w:cs="宋体"/>
          <w:color w:val="000000"/>
          <w:sz w:val="24"/>
          <w:szCs w:val="24"/>
          <w:highlight w:val="none"/>
          <w:lang w:val="en-US" w:eastAsia="zh-CN"/>
        </w:rPr>
        <w:t>次招标为公开招标，投标保证金为50万元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五十</w:t>
      </w:r>
      <w:r>
        <w:rPr>
          <w:rFonts w:hint="eastAsia" w:ascii="宋体" w:hAnsi="宋体" w:cs="宋体"/>
          <w:color w:val="000000"/>
          <w:sz w:val="24"/>
          <w:szCs w:val="24"/>
          <w:highlight w:val="none"/>
        </w:rPr>
        <w:t>万元整）</w:t>
      </w:r>
      <w:r>
        <w:rPr>
          <w:rFonts w:hint="eastAsia" w:ascii="宋体" w:hAnsi="宋体" w:cs="宋体"/>
          <w:color w:val="000000"/>
          <w:sz w:val="24"/>
          <w:szCs w:val="24"/>
          <w:highlight w:val="none"/>
          <w:lang w:val="en-US" w:eastAsia="zh-CN"/>
        </w:rPr>
        <w:t>。投标人</w:t>
      </w: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lang w:val="en-US" w:eastAsia="zh-CN"/>
        </w:rPr>
        <w:t xml:space="preserve">）在报名和应标时在E采通上传，恶意竞标或中标后拒绝签约的扣除50万投标保证金。  </w:t>
      </w:r>
      <w:r>
        <w:rPr>
          <w:rFonts w:hint="eastAsia" w:ascii="宋体" w:hAnsi="宋体" w:cs="宋体"/>
          <w:color w:val="000000"/>
          <w:sz w:val="24"/>
          <w:szCs w:val="24"/>
          <w:lang w:val="en-US" w:eastAsia="zh-CN"/>
        </w:rPr>
        <w:t xml:space="preserve"> </w:t>
      </w:r>
    </w:p>
    <w:p w14:paraId="6266B677">
      <w:pPr>
        <w:numPr>
          <w:ilvl w:val="0"/>
          <w:numId w:val="12"/>
        </w:numPr>
        <w:spacing w:line="360" w:lineRule="auto"/>
        <w:ind w:left="425" w:hanging="425" w:firstLineChars="0"/>
        <w:rPr>
          <w:rFonts w:ascii="宋体" w:hAnsi="宋体" w:cs="宋体"/>
          <w:sz w:val="24"/>
          <w:szCs w:val="24"/>
          <w:highlight w:val="none"/>
        </w:rPr>
      </w:pPr>
      <w:r>
        <w:rPr>
          <w:rFonts w:hint="eastAsia" w:ascii="宋体" w:hAnsi="宋体" w:cs="宋体"/>
          <w:color w:val="000000"/>
          <w:sz w:val="24"/>
          <w:szCs w:val="24"/>
          <w:highlight w:val="none"/>
        </w:rPr>
        <w:t>缴纳方式：基本账户转账。</w:t>
      </w:r>
    </w:p>
    <w:p w14:paraId="376EE932">
      <w:pPr>
        <w:numPr>
          <w:ilvl w:val="0"/>
          <w:numId w:val="1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接收单位：</w:t>
      </w:r>
      <w:r>
        <w:rPr>
          <w:rFonts w:ascii="宋体" w:hAnsi="宋体" w:eastAsia="宋体" w:cs="宋体"/>
          <w:sz w:val="24"/>
          <w:szCs w:val="24"/>
        </w:rPr>
        <w:t>中国重汽集团济南动力有限公司</w:t>
      </w:r>
      <w:r>
        <w:rPr>
          <w:rFonts w:hint="eastAsia" w:ascii="宋体" w:hAnsi="宋体" w:cs="宋体"/>
          <w:color w:val="000000"/>
          <w:sz w:val="24"/>
          <w:szCs w:val="24"/>
          <w:highlight w:val="none"/>
        </w:rPr>
        <w:t xml:space="preserve"> </w:t>
      </w:r>
    </w:p>
    <w:p w14:paraId="4E3E78CC">
      <w:pPr>
        <w:numPr>
          <w:ilvl w:val="0"/>
          <w:numId w:val="12"/>
        </w:numPr>
        <w:spacing w:line="360" w:lineRule="auto"/>
        <w:ind w:left="425" w:hanging="425"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转账信息：</w:t>
      </w:r>
    </w:p>
    <w:p w14:paraId="58B22D33">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w:t>
      </w:r>
      <w:r>
        <w:rPr>
          <w:rFonts w:ascii="宋体" w:hAnsi="宋体" w:eastAsia="宋体" w:cs="宋体"/>
          <w:sz w:val="24"/>
          <w:szCs w:val="24"/>
        </w:rPr>
        <w:t xml:space="preserve">中国建设银行济南市天桥区支行 </w:t>
      </w:r>
    </w:p>
    <w:p w14:paraId="4F97E0B8">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户名：</w:t>
      </w:r>
      <w:r>
        <w:rPr>
          <w:rFonts w:ascii="宋体" w:hAnsi="宋体" w:eastAsia="宋体" w:cs="宋体"/>
          <w:sz w:val="24"/>
          <w:szCs w:val="24"/>
        </w:rPr>
        <w:t>中国重汽集团济南动力有限公司</w:t>
      </w:r>
      <w:r>
        <w:rPr>
          <w:rFonts w:hint="eastAsia" w:ascii="宋体" w:hAnsi="宋体" w:cs="宋体"/>
          <w:color w:val="000000"/>
          <w:sz w:val="24"/>
          <w:szCs w:val="24"/>
          <w:highlight w:val="none"/>
        </w:rPr>
        <w:t xml:space="preserve">  </w:t>
      </w:r>
    </w:p>
    <w:p w14:paraId="0684D9DD">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账号：</w:t>
      </w:r>
      <w:r>
        <w:rPr>
          <w:rFonts w:ascii="宋体" w:hAnsi="宋体" w:eastAsia="宋体" w:cs="宋体"/>
          <w:sz w:val="24"/>
          <w:szCs w:val="24"/>
        </w:rPr>
        <w:t>37001616508050150300</w:t>
      </w:r>
      <w:r>
        <w:rPr>
          <w:rFonts w:hint="eastAsia" w:ascii="宋体" w:hAnsi="宋体" w:cs="宋体"/>
          <w:color w:val="000000"/>
          <w:sz w:val="24"/>
          <w:szCs w:val="24"/>
          <w:highlight w:val="none"/>
        </w:rPr>
        <w:t xml:space="preserve">    </w:t>
      </w:r>
    </w:p>
    <w:p w14:paraId="58C6319A">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应备注“</w:t>
      </w:r>
      <w:r>
        <w:rPr>
          <w:rFonts w:hint="eastAsia" w:ascii="宋体" w:hAnsi="宋体" w:cs="宋体"/>
          <w:color w:val="000000"/>
          <w:sz w:val="24"/>
          <w:szCs w:val="24"/>
          <w:highlight w:val="none"/>
          <w:lang w:val="en-US" w:eastAsia="zh-CN"/>
        </w:rPr>
        <w:t>2025年轻型车</w:t>
      </w:r>
      <w:r>
        <w:rPr>
          <w:rFonts w:hint="eastAsia" w:ascii="宋体" w:hAnsi="宋体" w:cs="宋体"/>
          <w:color w:val="000000"/>
          <w:sz w:val="24"/>
          <w:szCs w:val="24"/>
          <w:highlight w:val="none"/>
          <w:lang w:eastAsia="zh-CN"/>
        </w:rPr>
        <w:t>运输项目投标保证金</w:t>
      </w:r>
      <w:r>
        <w:rPr>
          <w:rFonts w:hint="eastAsia" w:ascii="宋体" w:hAnsi="宋体" w:cs="宋体"/>
          <w:color w:val="000000"/>
          <w:sz w:val="24"/>
          <w:szCs w:val="24"/>
          <w:highlight w:val="none"/>
        </w:rPr>
        <w:t>”</w:t>
      </w:r>
    </w:p>
    <w:p w14:paraId="08FA74E9">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注：投标人应充分考虑银行信息交换时间，由此带来的保证金不能按时到帐的由投标人自行承担。</w:t>
      </w:r>
    </w:p>
    <w:p w14:paraId="58DF33B6">
      <w:pPr>
        <w:numPr>
          <w:ilvl w:val="0"/>
          <w:numId w:val="12"/>
        </w:numPr>
        <w:spacing w:line="360" w:lineRule="auto"/>
        <w:ind w:left="425" w:hanging="425" w:firstLineChars="0"/>
        <w:rPr>
          <w:rFonts w:hint="eastAsia" w:ascii="宋体" w:hAnsi="宋体" w:eastAsia="宋体" w:cs="宋体"/>
          <w:color w:val="000000"/>
          <w:sz w:val="24"/>
          <w:szCs w:val="24"/>
          <w:highlight w:val="none"/>
          <w:shd w:val="clear" w:fill="auto"/>
          <w:lang w:eastAsia="zh-CN"/>
        </w:rPr>
      </w:pPr>
      <w:r>
        <w:rPr>
          <w:rFonts w:hint="eastAsia" w:ascii="宋体" w:hAnsi="宋体" w:cs="宋体"/>
          <w:color w:val="000000"/>
          <w:sz w:val="24"/>
          <w:szCs w:val="24"/>
          <w:highlight w:val="none"/>
        </w:rPr>
        <w:t>履约保证金：每</w:t>
      </w:r>
      <w:r>
        <w:rPr>
          <w:rFonts w:hint="eastAsia" w:ascii="宋体" w:hAnsi="宋体" w:cs="宋体"/>
          <w:color w:val="000000"/>
          <w:sz w:val="24"/>
          <w:szCs w:val="24"/>
          <w:highlight w:val="none"/>
          <w:lang w:val="en-US" w:eastAsia="zh-CN"/>
        </w:rPr>
        <w:t>标段</w:t>
      </w:r>
      <w:r>
        <w:rPr>
          <w:rFonts w:hint="eastAsia" w:ascii="宋体" w:hAnsi="宋体" w:cs="宋体"/>
          <w:color w:val="000000"/>
          <w:sz w:val="24"/>
          <w:szCs w:val="24"/>
          <w:highlight w:val="none"/>
          <w:lang w:eastAsia="zh-CN"/>
        </w:rPr>
        <w:t>2</w:t>
      </w:r>
      <w:r>
        <w:rPr>
          <w:rFonts w:hint="eastAsia" w:ascii="宋体" w:hAnsi="宋体" w:cs="宋体"/>
          <w:color w:val="000000"/>
          <w:sz w:val="24"/>
          <w:szCs w:val="24"/>
          <w:highlight w:val="none"/>
        </w:rPr>
        <w:t>00万元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保证金按标段收取，同一标段可与多家生产单位签约；</w:t>
      </w:r>
      <w:r>
        <w:rPr>
          <w:rFonts w:hint="eastAsia" w:ascii="宋体" w:hAnsi="宋体" w:cs="宋体"/>
          <w:color w:val="000000"/>
          <w:sz w:val="24"/>
          <w:szCs w:val="24"/>
          <w:highlight w:val="none"/>
          <w:lang w:eastAsia="zh-CN"/>
        </w:rPr>
        <w:t>中标公司</w:t>
      </w:r>
      <w:r>
        <w:rPr>
          <w:rFonts w:hint="eastAsia" w:ascii="宋体" w:hAnsi="宋体" w:cs="宋体"/>
          <w:color w:val="000000"/>
          <w:sz w:val="24"/>
          <w:szCs w:val="24"/>
          <w:highlight w:val="none"/>
          <w:lang w:val="en-US" w:eastAsia="zh-CN"/>
        </w:rPr>
        <w:t>在集团内履约</w:t>
      </w:r>
      <w:r>
        <w:rPr>
          <w:rFonts w:hint="eastAsia" w:ascii="宋体" w:hAnsi="宋体" w:cs="宋体"/>
          <w:color w:val="000000"/>
          <w:sz w:val="24"/>
          <w:szCs w:val="24"/>
          <w:highlight w:val="none"/>
          <w:lang w:eastAsia="zh-CN"/>
        </w:rPr>
        <w:t>保证金达到1000 万时，不再</w:t>
      </w:r>
      <w:r>
        <w:rPr>
          <w:rFonts w:hint="eastAsia" w:ascii="宋体" w:hAnsi="宋体" w:cs="宋体"/>
          <w:color w:val="000000"/>
          <w:sz w:val="24"/>
          <w:szCs w:val="24"/>
          <w:highlight w:val="none"/>
          <w:lang w:val="en-US" w:eastAsia="zh-CN"/>
        </w:rPr>
        <w:t>缴纳</w:t>
      </w:r>
      <w:r>
        <w:rPr>
          <w:rFonts w:hint="eastAsia" w:ascii="宋体" w:hAnsi="宋体" w:cs="宋体"/>
          <w:color w:val="000000"/>
          <w:sz w:val="24"/>
          <w:szCs w:val="24"/>
          <w:highlight w:val="none"/>
          <w:lang w:eastAsia="zh-CN"/>
        </w:rPr>
        <w:t>。缴纳保证金后，合同生效；未及时缴纳</w:t>
      </w:r>
      <w:r>
        <w:rPr>
          <w:rFonts w:hint="eastAsia" w:ascii="宋体" w:hAnsi="宋体" w:cs="宋体"/>
          <w:color w:val="000000"/>
          <w:sz w:val="24"/>
          <w:szCs w:val="24"/>
          <w:highlight w:val="none"/>
          <w:lang w:val="en-US" w:eastAsia="zh-CN"/>
        </w:rPr>
        <w:t>履约</w:t>
      </w:r>
      <w:r>
        <w:rPr>
          <w:rFonts w:hint="eastAsia" w:ascii="宋体" w:hAnsi="宋体" w:cs="宋体"/>
          <w:color w:val="000000"/>
          <w:sz w:val="24"/>
          <w:szCs w:val="24"/>
          <w:highlight w:val="none"/>
          <w:lang w:eastAsia="zh-CN"/>
        </w:rPr>
        <w:t>保证金，视为弃标，扣除投标保证金，同时纳入黑名单；</w:t>
      </w:r>
      <w:r>
        <w:rPr>
          <w:rFonts w:hint="eastAsia" w:ascii="宋体" w:hAnsi="宋体" w:cs="宋体"/>
          <w:color w:val="000000"/>
          <w:sz w:val="24"/>
          <w:szCs w:val="24"/>
          <w:highlight w:val="none"/>
          <w:lang w:val="en-US" w:eastAsia="zh-CN"/>
        </w:rPr>
        <w:t>履约保证金</w:t>
      </w:r>
      <w:r>
        <w:rPr>
          <w:rFonts w:hint="eastAsia" w:ascii="宋体" w:hAnsi="宋体" w:cs="宋体"/>
          <w:color w:val="000000"/>
          <w:sz w:val="24"/>
          <w:szCs w:val="24"/>
          <w:highlight w:val="none"/>
          <w:lang w:eastAsia="zh-CN"/>
        </w:rPr>
        <w:t>退还方式按照法务合规部</w:t>
      </w:r>
      <w:r>
        <w:rPr>
          <w:rFonts w:hint="eastAsia" w:ascii="宋体" w:hAnsi="宋体" w:cs="宋体"/>
          <w:color w:val="000000"/>
          <w:sz w:val="24"/>
          <w:szCs w:val="24"/>
          <w:highlight w:val="none"/>
          <w:lang w:val="en-US" w:eastAsia="zh-CN"/>
        </w:rPr>
        <w:t>审批后</w:t>
      </w:r>
      <w:r>
        <w:rPr>
          <w:rFonts w:hint="eastAsia" w:ascii="宋体" w:hAnsi="宋体" w:cs="宋体"/>
          <w:color w:val="000000"/>
          <w:sz w:val="24"/>
          <w:szCs w:val="24"/>
          <w:highlight w:val="none"/>
          <w:lang w:eastAsia="zh-CN"/>
        </w:rPr>
        <w:t>的合同执行。</w:t>
      </w:r>
    </w:p>
    <w:p w14:paraId="2F08B0D8"/>
    <w:p w14:paraId="6C224F16">
      <w:pPr>
        <w:pStyle w:val="15"/>
        <w:ind w:left="420"/>
      </w:pPr>
      <w:bookmarkStart w:id="55" w:name="_Toc6713"/>
      <w:bookmarkStart w:id="56" w:name="_Toc27584"/>
      <w:r>
        <w:rPr>
          <w:rFonts w:hint="eastAsia"/>
        </w:rPr>
        <w:t>投标人须知</w:t>
      </w:r>
      <w:bookmarkEnd w:id="6"/>
      <w:bookmarkEnd w:id="7"/>
      <w:bookmarkEnd w:id="8"/>
      <w:bookmarkEnd w:id="55"/>
      <w:bookmarkEnd w:id="56"/>
      <w:bookmarkStart w:id="57" w:name="_Toc129685543"/>
      <w:bookmarkEnd w:id="57"/>
      <w:bookmarkStart w:id="58" w:name="_Toc129685544"/>
      <w:bookmarkEnd w:id="58"/>
    </w:p>
    <w:p w14:paraId="4A38DB90">
      <w:pPr>
        <w:pStyle w:val="19"/>
        <w:keepNext/>
        <w:keepLines/>
        <w:numPr>
          <w:ilvl w:val="0"/>
          <w:numId w:val="13"/>
        </w:numPr>
        <w:spacing w:line="360" w:lineRule="auto"/>
        <w:ind w:firstLineChars="0"/>
        <w:jc w:val="left"/>
        <w:outlineLvl w:val="1"/>
        <w:rPr>
          <w:b/>
          <w:vanish/>
          <w:kern w:val="0"/>
          <w:sz w:val="24"/>
          <w:szCs w:val="32"/>
        </w:rPr>
      </w:pPr>
      <w:bookmarkStart w:id="59" w:name="_Toc129692640"/>
      <w:bookmarkEnd w:id="59"/>
      <w:bookmarkStart w:id="60" w:name="_Toc142573112"/>
      <w:bookmarkEnd w:id="60"/>
      <w:bookmarkStart w:id="61" w:name="_Toc129693371"/>
      <w:bookmarkEnd w:id="61"/>
      <w:bookmarkStart w:id="62" w:name="_Toc129692723"/>
      <w:bookmarkEnd w:id="62"/>
      <w:bookmarkStart w:id="63" w:name="_Toc129692786"/>
      <w:bookmarkEnd w:id="63"/>
      <w:bookmarkStart w:id="64" w:name="_Toc129695603"/>
      <w:bookmarkEnd w:id="64"/>
      <w:bookmarkStart w:id="65" w:name="_Toc142573645"/>
      <w:bookmarkEnd w:id="65"/>
      <w:bookmarkStart w:id="66" w:name="_Toc129693887"/>
      <w:bookmarkEnd w:id="66"/>
      <w:bookmarkStart w:id="67" w:name="_Toc142573020"/>
      <w:bookmarkEnd w:id="67"/>
      <w:bookmarkStart w:id="68" w:name="_Toc142573481"/>
      <w:bookmarkEnd w:id="68"/>
      <w:bookmarkStart w:id="69" w:name="_Toc129697443"/>
      <w:bookmarkEnd w:id="69"/>
      <w:bookmarkStart w:id="70" w:name="_Toc142572974"/>
      <w:bookmarkEnd w:id="70"/>
      <w:bookmarkStart w:id="71" w:name="_Toc142572939"/>
      <w:bookmarkEnd w:id="71"/>
    </w:p>
    <w:p w14:paraId="507CFC90">
      <w:pPr>
        <w:pStyle w:val="19"/>
        <w:keepNext/>
        <w:keepLines/>
        <w:numPr>
          <w:ilvl w:val="0"/>
          <w:numId w:val="13"/>
        </w:numPr>
        <w:spacing w:line="360" w:lineRule="auto"/>
        <w:ind w:firstLineChars="0"/>
        <w:jc w:val="left"/>
        <w:outlineLvl w:val="1"/>
        <w:rPr>
          <w:b/>
          <w:vanish/>
          <w:kern w:val="0"/>
          <w:sz w:val="24"/>
          <w:szCs w:val="32"/>
        </w:rPr>
      </w:pPr>
      <w:bookmarkStart w:id="72" w:name="_Toc142573646"/>
      <w:bookmarkEnd w:id="72"/>
      <w:bookmarkStart w:id="73" w:name="_Toc129692641"/>
      <w:bookmarkEnd w:id="73"/>
      <w:bookmarkStart w:id="74" w:name="_Toc142573113"/>
      <w:bookmarkEnd w:id="74"/>
      <w:bookmarkStart w:id="75" w:name="_Toc142573482"/>
      <w:bookmarkEnd w:id="75"/>
      <w:bookmarkStart w:id="76" w:name="_Toc129695604"/>
      <w:bookmarkEnd w:id="76"/>
      <w:bookmarkStart w:id="77" w:name="_Toc129693888"/>
      <w:bookmarkEnd w:id="77"/>
      <w:bookmarkStart w:id="78" w:name="_Toc142572940"/>
      <w:bookmarkEnd w:id="78"/>
      <w:bookmarkStart w:id="79" w:name="_Toc129693372"/>
      <w:bookmarkEnd w:id="79"/>
      <w:bookmarkStart w:id="80" w:name="_Toc129697444"/>
      <w:bookmarkEnd w:id="80"/>
      <w:bookmarkStart w:id="81" w:name="_Toc129692787"/>
      <w:bookmarkEnd w:id="81"/>
      <w:bookmarkStart w:id="82" w:name="_Toc142573021"/>
      <w:bookmarkEnd w:id="82"/>
      <w:bookmarkStart w:id="83" w:name="_Toc142572975"/>
      <w:bookmarkEnd w:id="83"/>
      <w:bookmarkStart w:id="84" w:name="_Toc129692724"/>
      <w:bookmarkEnd w:id="84"/>
    </w:p>
    <w:p w14:paraId="6DCC9AE1">
      <w:pPr>
        <w:pStyle w:val="3"/>
        <w:numPr>
          <w:ilvl w:val="1"/>
          <w:numId w:val="13"/>
        </w:numPr>
        <w:spacing w:before="0" w:beforeLines="0" w:line="360" w:lineRule="auto"/>
        <w:rPr>
          <w:sz w:val="28"/>
          <w:szCs w:val="28"/>
        </w:rPr>
      </w:pPr>
      <w:bookmarkStart w:id="85" w:name="_Toc14852"/>
      <w:bookmarkStart w:id="86" w:name="_Toc16609"/>
      <w:bookmarkStart w:id="87" w:name="_Toc8123"/>
      <w:bookmarkStart w:id="88" w:name="_Toc15058"/>
      <w:r>
        <w:rPr>
          <w:rFonts w:hint="eastAsia"/>
          <w:sz w:val="28"/>
          <w:szCs w:val="28"/>
        </w:rPr>
        <w:t>投标人须知前附表</w:t>
      </w:r>
      <w:bookmarkEnd w:id="85"/>
      <w:bookmarkEnd w:id="86"/>
      <w:bookmarkEnd w:id="87"/>
      <w:bookmarkEnd w:id="88"/>
    </w:p>
    <w:p w14:paraId="2E99A43C">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1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694"/>
        <w:gridCol w:w="8433"/>
      </w:tblGrid>
      <w:tr w14:paraId="6AC4F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5" w:hRule="atLeast"/>
          <w:tblHeader/>
          <w:jc w:val="center"/>
        </w:trPr>
        <w:tc>
          <w:tcPr>
            <w:tcW w:w="380" w:type="pct"/>
            <w:tcBorders>
              <w:top w:val="single" w:color="auto" w:sz="2" w:space="0"/>
              <w:left w:val="single" w:color="auto" w:sz="2" w:space="0"/>
              <w:bottom w:val="single" w:color="auto" w:sz="2" w:space="0"/>
              <w:right w:val="single" w:color="auto" w:sz="2" w:space="0"/>
            </w:tcBorders>
            <w:vAlign w:val="center"/>
          </w:tcPr>
          <w:p w14:paraId="10DD4EC6">
            <w:pPr>
              <w:spacing w:line="240" w:lineRule="auto"/>
              <w:jc w:val="center"/>
              <w:rPr>
                <w:rFonts w:ascii="宋体" w:hAnsi="宋体"/>
                <w:sz w:val="24"/>
                <w:szCs w:val="24"/>
              </w:rPr>
            </w:pPr>
            <w:bookmarkStart w:id="89" w:name="_Toc346372875"/>
            <w:r>
              <w:rPr>
                <w:rFonts w:hint="eastAsia" w:ascii="宋体" w:hAnsi="宋体" w:cs="宋体"/>
                <w:sz w:val="24"/>
              </w:rPr>
              <w:t>序号</w:t>
            </w:r>
          </w:p>
        </w:tc>
        <w:tc>
          <w:tcPr>
            <w:tcW w:w="4619" w:type="pct"/>
            <w:tcBorders>
              <w:top w:val="single" w:color="auto" w:sz="2" w:space="0"/>
              <w:left w:val="single" w:color="auto" w:sz="2" w:space="0"/>
              <w:bottom w:val="single" w:color="auto" w:sz="2" w:space="0"/>
              <w:right w:val="single" w:color="auto" w:sz="2" w:space="0"/>
            </w:tcBorders>
            <w:vAlign w:val="center"/>
          </w:tcPr>
          <w:p w14:paraId="71B9EE05">
            <w:pPr>
              <w:spacing w:line="240" w:lineRule="auto"/>
              <w:ind w:firstLine="0" w:firstLineChars="0"/>
              <w:jc w:val="center"/>
              <w:rPr>
                <w:rFonts w:ascii="宋体" w:hAnsi="宋体"/>
                <w:b/>
                <w:bCs/>
                <w:sz w:val="24"/>
                <w:szCs w:val="24"/>
              </w:rPr>
            </w:pPr>
            <w:r>
              <w:rPr>
                <w:rFonts w:hint="eastAsia" w:ascii="宋体" w:hAnsi="宋体" w:cs="宋体"/>
                <w:b/>
                <w:bCs/>
                <w:sz w:val="24"/>
              </w:rPr>
              <w:t>内容说明</w:t>
            </w:r>
          </w:p>
        </w:tc>
      </w:tr>
      <w:tr w14:paraId="2E614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1399B85">
            <w:pPr>
              <w:spacing w:line="240" w:lineRule="auto"/>
              <w:jc w:val="center"/>
              <w:rPr>
                <w:rFonts w:ascii="宋体" w:hAnsi="宋体"/>
                <w:sz w:val="24"/>
                <w:szCs w:val="24"/>
              </w:rPr>
            </w:pPr>
            <w:r>
              <w:rPr>
                <w:rFonts w:hint="eastAsia" w:ascii="宋体" w:hAnsi="宋体" w:cs="宋体"/>
                <w:sz w:val="24"/>
              </w:rPr>
              <w:t>1</w:t>
            </w:r>
          </w:p>
        </w:tc>
        <w:tc>
          <w:tcPr>
            <w:tcW w:w="4619" w:type="pct"/>
            <w:tcBorders>
              <w:top w:val="single" w:color="auto" w:sz="2" w:space="0"/>
              <w:left w:val="single" w:color="auto" w:sz="2" w:space="0"/>
              <w:bottom w:val="single" w:color="auto" w:sz="2" w:space="0"/>
              <w:right w:val="single" w:color="auto" w:sz="2" w:space="0"/>
            </w:tcBorders>
            <w:vAlign w:val="center"/>
          </w:tcPr>
          <w:p w14:paraId="01BEF420">
            <w:pPr>
              <w:shd w:val="clear"/>
              <w:spacing w:before="146" w:before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中国重汽集团</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轻型车</w:t>
            </w:r>
            <w:r>
              <w:rPr>
                <w:rFonts w:hint="eastAsia" w:ascii="宋体" w:hAnsi="宋体" w:cs="宋体"/>
                <w:color w:val="000000"/>
                <w:sz w:val="24"/>
                <w:szCs w:val="24"/>
                <w:highlight w:val="none"/>
              </w:rPr>
              <w:t>运输项目</w:t>
            </w:r>
          </w:p>
          <w:p w14:paraId="0B09D5E7">
            <w:pPr>
              <w:shd w:val="clear"/>
              <w:spacing w:before="146" w:beforeLines="50" w:line="360" w:lineRule="auto"/>
              <w:ind w:firstLine="480" w:firstLineChars="200"/>
              <w:rPr>
                <w:rFonts w:hint="eastAsia" w:eastAsia="宋体"/>
                <w:lang w:eastAsia="zh-CN"/>
              </w:rPr>
            </w:pPr>
            <w:r>
              <w:rPr>
                <w:rFonts w:hint="eastAsia" w:hAnsi="宋体"/>
                <w:b w:val="0"/>
                <w:bCs/>
                <w:sz w:val="24"/>
                <w:szCs w:val="24"/>
                <w:highlight w:val="none"/>
              </w:rPr>
              <w:t>本次招标</w:t>
            </w:r>
            <w:r>
              <w:rPr>
                <w:rFonts w:hint="eastAsia" w:hAnsi="宋体"/>
                <w:b w:val="0"/>
                <w:bCs/>
                <w:sz w:val="24"/>
                <w:szCs w:val="24"/>
                <w:lang w:eastAsia="zh-CN"/>
              </w:rPr>
              <w:t>确定</w:t>
            </w:r>
            <w:r>
              <w:rPr>
                <w:rFonts w:hint="eastAsia" w:hAnsi="宋体"/>
                <w:b w:val="0"/>
                <w:bCs/>
                <w:sz w:val="24"/>
                <w:szCs w:val="24"/>
                <w:lang w:val="en-US" w:eastAsia="zh-CN"/>
              </w:rPr>
              <w:t>自签订日期起一年内</w:t>
            </w:r>
            <w:r>
              <w:rPr>
                <w:rFonts w:hint="eastAsia" w:hAnsi="宋体"/>
                <w:b w:val="0"/>
                <w:bCs/>
                <w:sz w:val="24"/>
                <w:szCs w:val="24"/>
              </w:rPr>
              <w:t>的合同期。中标单位确定后招标方指定所属二级单位负责签定合同</w:t>
            </w:r>
            <w:r>
              <w:rPr>
                <w:rFonts w:hint="eastAsia" w:hAnsi="宋体"/>
                <w:b w:val="0"/>
                <w:bCs/>
                <w:sz w:val="24"/>
                <w:szCs w:val="24"/>
                <w:lang w:eastAsia="zh-CN"/>
              </w:rPr>
              <w:t>。</w:t>
            </w:r>
          </w:p>
        </w:tc>
      </w:tr>
      <w:tr w14:paraId="179F4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42F9313">
            <w:pPr>
              <w:spacing w:line="240" w:lineRule="auto"/>
              <w:jc w:val="center"/>
              <w:rPr>
                <w:rFonts w:ascii="宋体" w:hAnsi="宋体"/>
                <w:sz w:val="24"/>
                <w:szCs w:val="24"/>
              </w:rPr>
            </w:pPr>
            <w:r>
              <w:rPr>
                <w:rFonts w:hint="eastAsia" w:ascii="宋体" w:hAnsi="宋体" w:cs="宋体"/>
                <w:sz w:val="24"/>
              </w:rPr>
              <w:t>2</w:t>
            </w:r>
          </w:p>
        </w:tc>
        <w:tc>
          <w:tcPr>
            <w:tcW w:w="4619" w:type="pct"/>
            <w:tcBorders>
              <w:top w:val="single" w:color="auto" w:sz="2" w:space="0"/>
              <w:left w:val="single" w:color="auto" w:sz="2" w:space="0"/>
              <w:bottom w:val="single" w:color="auto" w:sz="2" w:space="0"/>
              <w:right w:val="single" w:color="auto" w:sz="2" w:space="0"/>
            </w:tcBorders>
            <w:vAlign w:val="center"/>
          </w:tcPr>
          <w:p w14:paraId="1E33E9E2">
            <w:pPr>
              <w:spacing w:before="146" w:beforeLines="50" w:line="360" w:lineRule="auto"/>
              <w:ind w:firstLine="480" w:firstLineChars="200"/>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p>
          <w:p w14:paraId="63D84420">
            <w:pPr>
              <w:spacing w:before="146" w:beforeLines="50"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联系人：</w:t>
            </w:r>
            <w:r>
              <w:rPr>
                <w:rFonts w:hint="eastAsia" w:ascii="宋体" w:hAnsi="宋体"/>
                <w:bCs/>
                <w:snapToGrid w:val="0"/>
                <w:kern w:val="0"/>
                <w:sz w:val="24"/>
                <w:lang w:val="en-US" w:eastAsia="zh-CN"/>
              </w:rPr>
              <w:t>任双双</w:t>
            </w:r>
          </w:p>
          <w:p w14:paraId="2EB7A1F0">
            <w:pPr>
              <w:spacing w:before="146" w:beforeLines="50"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电  话：</w:t>
            </w:r>
            <w:r>
              <w:rPr>
                <w:rFonts w:hint="eastAsia" w:ascii="宋体" w:hAnsi="宋体"/>
                <w:bCs/>
                <w:snapToGrid w:val="0"/>
                <w:kern w:val="0"/>
                <w:sz w:val="24"/>
                <w:lang w:val="en-US" w:eastAsia="zh-CN"/>
              </w:rPr>
              <w:t>15140441108</w:t>
            </w:r>
          </w:p>
        </w:tc>
      </w:tr>
      <w:tr w14:paraId="494F8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68588799">
            <w:pPr>
              <w:spacing w:line="240" w:lineRule="auto"/>
              <w:jc w:val="center"/>
              <w:rPr>
                <w:rFonts w:ascii="宋体" w:hAnsi="宋体"/>
                <w:sz w:val="24"/>
                <w:szCs w:val="24"/>
              </w:rPr>
            </w:pPr>
            <w:r>
              <w:rPr>
                <w:rFonts w:hint="eastAsia" w:ascii="宋体" w:hAnsi="宋体" w:cs="宋体"/>
                <w:sz w:val="24"/>
              </w:rPr>
              <w:t>3</w:t>
            </w:r>
          </w:p>
        </w:tc>
        <w:tc>
          <w:tcPr>
            <w:tcW w:w="4619" w:type="pct"/>
            <w:tcBorders>
              <w:top w:val="single" w:color="auto" w:sz="2" w:space="0"/>
              <w:left w:val="single" w:color="auto" w:sz="2" w:space="0"/>
              <w:bottom w:val="single" w:color="auto" w:sz="2" w:space="0"/>
              <w:right w:val="single" w:color="auto" w:sz="2" w:space="0"/>
            </w:tcBorders>
            <w:vAlign w:val="center"/>
          </w:tcPr>
          <w:p w14:paraId="743E4886">
            <w:pPr>
              <w:spacing w:before="146" w:beforeLines="50"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14:paraId="2535F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C4D531F">
            <w:pPr>
              <w:spacing w:line="240" w:lineRule="auto"/>
              <w:jc w:val="center"/>
              <w:rPr>
                <w:rFonts w:ascii="宋体" w:hAnsi="宋体"/>
                <w:sz w:val="24"/>
                <w:szCs w:val="24"/>
              </w:rPr>
            </w:pPr>
            <w:r>
              <w:rPr>
                <w:rFonts w:hint="eastAsia" w:ascii="宋体" w:hAnsi="宋体" w:cs="宋体"/>
                <w:sz w:val="24"/>
              </w:rPr>
              <w:t>4</w:t>
            </w:r>
          </w:p>
        </w:tc>
        <w:tc>
          <w:tcPr>
            <w:tcW w:w="4619" w:type="pct"/>
            <w:tcBorders>
              <w:top w:val="single" w:color="auto" w:sz="2" w:space="0"/>
              <w:left w:val="single" w:color="auto" w:sz="2" w:space="0"/>
              <w:bottom w:val="single" w:color="auto" w:sz="2" w:space="0"/>
              <w:right w:val="single" w:color="auto" w:sz="2" w:space="0"/>
            </w:tcBorders>
            <w:vAlign w:val="center"/>
          </w:tcPr>
          <w:p w14:paraId="7BDBA519">
            <w:pPr>
              <w:spacing w:before="146" w:beforeLines="50"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282D6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5BCC7D3C">
            <w:pPr>
              <w:spacing w:line="240" w:lineRule="auto"/>
              <w:jc w:val="center"/>
              <w:rPr>
                <w:rFonts w:ascii="宋体" w:hAnsi="宋体"/>
                <w:sz w:val="24"/>
                <w:szCs w:val="24"/>
              </w:rPr>
            </w:pPr>
            <w:r>
              <w:rPr>
                <w:rFonts w:hint="eastAsia" w:ascii="宋体" w:hAnsi="宋体" w:cs="宋体"/>
                <w:sz w:val="24"/>
              </w:rPr>
              <w:t>5</w:t>
            </w:r>
          </w:p>
        </w:tc>
        <w:tc>
          <w:tcPr>
            <w:tcW w:w="4619" w:type="pct"/>
            <w:tcBorders>
              <w:top w:val="single" w:color="auto" w:sz="2" w:space="0"/>
              <w:left w:val="single" w:color="auto" w:sz="2" w:space="0"/>
              <w:bottom w:val="single" w:color="auto" w:sz="2" w:space="0"/>
              <w:right w:val="single" w:color="auto" w:sz="2" w:space="0"/>
            </w:tcBorders>
            <w:vAlign w:val="center"/>
          </w:tcPr>
          <w:p w14:paraId="71B8CB77">
            <w:pPr>
              <w:pStyle w:val="7"/>
              <w:spacing w:before="146" w:beforeLines="50" w:after="0" w:line="360" w:lineRule="auto"/>
              <w:ind w:firstLine="480" w:firstLineChars="200"/>
              <w:rPr>
                <w:rFonts w:ascii="宋体" w:hAnsi="宋体"/>
                <w:sz w:val="24"/>
              </w:rPr>
            </w:pPr>
            <w:r>
              <w:rPr>
                <w:rFonts w:hint="eastAsia" w:ascii="宋体" w:hAnsi="宋体"/>
                <w:sz w:val="24"/>
              </w:rPr>
              <w:t>合格投标人：</w:t>
            </w:r>
          </w:p>
          <w:p w14:paraId="08C321DD">
            <w:pPr>
              <w:spacing w:before="146" w:beforeLines="50" w:line="360" w:lineRule="auto"/>
              <w:ind w:firstLine="480"/>
              <w:rPr>
                <w:rFonts w:ascii="宋体" w:hAnsi="宋体"/>
                <w:sz w:val="24"/>
              </w:rPr>
            </w:pPr>
            <w:r>
              <w:rPr>
                <w:rFonts w:hint="eastAsia" w:ascii="宋体" w:hAnsi="宋体"/>
                <w:sz w:val="24"/>
              </w:rPr>
              <w:t>同第</w:t>
            </w:r>
            <w:r>
              <w:rPr>
                <w:rFonts w:hint="eastAsia" w:ascii="宋体" w:hAnsi="宋体"/>
                <w:sz w:val="24"/>
                <w:lang w:val="en-US" w:eastAsia="zh-CN"/>
              </w:rPr>
              <w:t>1</w:t>
            </w:r>
            <w:r>
              <w:rPr>
                <w:rFonts w:hint="eastAsia" w:ascii="宋体" w:hAnsi="宋体"/>
                <w:sz w:val="24"/>
              </w:rPr>
              <w:t>章招标公告</w:t>
            </w:r>
            <w:r>
              <w:rPr>
                <w:rFonts w:hint="eastAsia" w:ascii="宋体" w:hAnsi="宋体"/>
                <w:sz w:val="24"/>
                <w:lang w:val="en-US" w:eastAsia="zh-CN"/>
              </w:rPr>
              <w:t>1.3</w:t>
            </w:r>
            <w:r>
              <w:rPr>
                <w:rFonts w:hint="eastAsia" w:ascii="宋体" w:hAnsi="宋体"/>
                <w:sz w:val="24"/>
              </w:rPr>
              <w:t>“投标人资格要求”</w:t>
            </w:r>
          </w:p>
        </w:tc>
      </w:tr>
      <w:tr w14:paraId="0CEF9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D3D64C0">
            <w:pPr>
              <w:spacing w:line="240" w:lineRule="auto"/>
              <w:jc w:val="center"/>
              <w:rPr>
                <w:rFonts w:ascii="宋体" w:hAnsi="宋体"/>
                <w:b/>
                <w:bCs/>
                <w:sz w:val="24"/>
                <w:szCs w:val="24"/>
              </w:rPr>
            </w:pPr>
            <w:r>
              <w:rPr>
                <w:rFonts w:hint="eastAsia" w:ascii="宋体" w:hAnsi="宋体" w:cs="宋体"/>
                <w:b/>
                <w:bCs/>
                <w:sz w:val="24"/>
              </w:rPr>
              <w:t>招标文件的答疑、澄清和修改</w:t>
            </w:r>
          </w:p>
        </w:tc>
      </w:tr>
      <w:tr w14:paraId="667E6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7003A3A8">
            <w:pPr>
              <w:spacing w:line="240" w:lineRule="auto"/>
              <w:jc w:val="center"/>
              <w:rPr>
                <w:rFonts w:ascii="宋体" w:hAnsi="宋体"/>
                <w:sz w:val="24"/>
                <w:szCs w:val="24"/>
              </w:rPr>
            </w:pPr>
            <w:r>
              <w:rPr>
                <w:rFonts w:hint="eastAsia" w:ascii="宋体" w:hAnsi="宋体" w:cs="宋体"/>
                <w:sz w:val="24"/>
              </w:rPr>
              <w:t>6</w:t>
            </w:r>
          </w:p>
        </w:tc>
        <w:tc>
          <w:tcPr>
            <w:tcW w:w="4619" w:type="pct"/>
            <w:tcBorders>
              <w:top w:val="single" w:color="auto" w:sz="2" w:space="0"/>
              <w:left w:val="single" w:color="auto" w:sz="2" w:space="0"/>
              <w:bottom w:val="single" w:color="auto" w:sz="2" w:space="0"/>
              <w:right w:val="single" w:color="auto" w:sz="2" w:space="0"/>
            </w:tcBorders>
            <w:vAlign w:val="center"/>
          </w:tcPr>
          <w:p w14:paraId="45B99451">
            <w:pPr>
              <w:snapToGrid w:val="0"/>
              <w:spacing w:before="146" w:beforeLines="50" w:line="360" w:lineRule="auto"/>
              <w:ind w:firstLine="480" w:firstLineChars="200"/>
              <w:jc w:val="left"/>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none"/>
                <w:u w:val="single"/>
                <w:lang w:eastAsia="zh-CN"/>
              </w:rPr>
              <w:t>202</w:t>
            </w:r>
            <w:r>
              <w:rPr>
                <w:rFonts w:hint="eastAsia"/>
                <w:b/>
                <w:sz w:val="24"/>
                <w:highlight w:val="none"/>
                <w:u w:val="single"/>
                <w:lang w:val="en-US" w:eastAsia="zh-CN"/>
              </w:rPr>
              <w:t>5</w:t>
            </w:r>
            <w:r>
              <w:rPr>
                <w:rFonts w:hint="eastAsia"/>
                <w:b/>
                <w:sz w:val="24"/>
                <w:highlight w:val="none"/>
                <w:u w:val="single"/>
              </w:rPr>
              <w:t xml:space="preserve"> 年</w:t>
            </w:r>
            <w:r>
              <w:rPr>
                <w:rFonts w:hint="eastAsia"/>
                <w:b/>
                <w:sz w:val="24"/>
                <w:highlight w:val="none"/>
                <w:u w:val="single"/>
                <w:lang w:val="en-US" w:eastAsia="zh-CN"/>
              </w:rPr>
              <w:t>10</w:t>
            </w:r>
            <w:r>
              <w:rPr>
                <w:rFonts w:hint="eastAsia"/>
                <w:b/>
                <w:sz w:val="24"/>
                <w:highlight w:val="none"/>
                <w:u w:val="single"/>
                <w:lang w:eastAsia="zh-CN"/>
              </w:rPr>
              <w:t>月</w:t>
            </w:r>
            <w:r>
              <w:rPr>
                <w:rFonts w:hint="eastAsia"/>
                <w:b/>
                <w:sz w:val="24"/>
                <w:highlight w:val="none"/>
                <w:u w:val="single"/>
                <w:lang w:val="en-US" w:eastAsia="zh-CN"/>
              </w:rPr>
              <w:t>9</w:t>
            </w:r>
            <w:r>
              <w:rPr>
                <w:rFonts w:hint="eastAsia"/>
                <w:b/>
                <w:sz w:val="24"/>
                <w:highlight w:val="none"/>
                <w:u w:val="single"/>
                <w:lang w:eastAsia="zh-CN"/>
              </w:rPr>
              <w:t>日</w:t>
            </w:r>
            <w:r>
              <w:rPr>
                <w:rFonts w:hint="eastAsia"/>
                <w:b/>
                <w:sz w:val="24"/>
                <w:highlight w:val="none"/>
                <w:u w:val="single"/>
                <w:lang w:val="en-US" w:eastAsia="zh-CN"/>
              </w:rPr>
              <w:t>17时0分</w:t>
            </w:r>
            <w:r>
              <w:rPr>
                <w:rFonts w:hint="eastAsia"/>
                <w:b/>
                <w:sz w:val="24"/>
                <w:highlight w:val="none"/>
                <w:u w:val="single"/>
                <w:lang w:eastAsia="zh-CN"/>
              </w:rPr>
              <w:t>前。</w:t>
            </w:r>
          </w:p>
          <w:p w14:paraId="098CCA39">
            <w:pPr>
              <w:snapToGrid w:val="0"/>
              <w:spacing w:before="146" w:beforeLines="50"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14:paraId="22003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DF5D245">
            <w:pPr>
              <w:spacing w:line="240" w:lineRule="auto"/>
              <w:jc w:val="center"/>
              <w:rPr>
                <w:rFonts w:ascii="宋体" w:hAnsi="宋体"/>
                <w:sz w:val="24"/>
                <w:szCs w:val="24"/>
              </w:rPr>
            </w:pPr>
            <w:r>
              <w:rPr>
                <w:rFonts w:hint="eastAsia" w:ascii="宋体" w:hAnsi="宋体" w:cs="宋体"/>
                <w:sz w:val="24"/>
              </w:rPr>
              <w:t>7</w:t>
            </w:r>
          </w:p>
        </w:tc>
        <w:tc>
          <w:tcPr>
            <w:tcW w:w="4619" w:type="pct"/>
            <w:tcBorders>
              <w:top w:val="single" w:color="auto" w:sz="2" w:space="0"/>
              <w:left w:val="single" w:color="auto" w:sz="2" w:space="0"/>
              <w:bottom w:val="single" w:color="auto" w:sz="2" w:space="0"/>
              <w:right w:val="single" w:color="auto" w:sz="2" w:space="0"/>
            </w:tcBorders>
            <w:vAlign w:val="center"/>
          </w:tcPr>
          <w:p w14:paraId="7AF3A76B">
            <w:pPr>
              <w:spacing w:before="146" w:beforeLines="50" w:line="360" w:lineRule="auto"/>
              <w:ind w:firstLine="480" w:firstLineChars="200"/>
              <w:jc w:val="left"/>
              <w:rPr>
                <w:rFonts w:hint="eastAsia" w:ascii="宋体" w:hAnsi="宋体" w:eastAsia="宋体"/>
                <w:sz w:val="24"/>
                <w:szCs w:val="24"/>
                <w:lang w:eastAsia="zh-CN"/>
              </w:rPr>
            </w:pPr>
            <w:r>
              <w:rPr>
                <w:rFonts w:hint="eastAsia" w:ascii="宋体" w:hAnsi="宋体"/>
                <w:sz w:val="24"/>
              </w:rPr>
              <w:t>答疑、澄清和修改文件方式：招标人将以电子邮件的方式将招标文件的答疑澄清文件发送至投标报名时登记的电子邮箱</w:t>
            </w:r>
            <w:r>
              <w:rPr>
                <w:rFonts w:hint="eastAsia" w:ascii="宋体" w:hAnsi="宋体"/>
                <w:sz w:val="24"/>
                <w:lang w:eastAsia="zh-CN"/>
              </w:rPr>
              <w:t>。</w:t>
            </w:r>
          </w:p>
        </w:tc>
      </w:tr>
      <w:tr w14:paraId="5792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183D0FB">
            <w:pPr>
              <w:spacing w:line="240" w:lineRule="auto"/>
              <w:jc w:val="center"/>
              <w:rPr>
                <w:rFonts w:ascii="宋体" w:hAnsi="宋体"/>
                <w:b/>
                <w:bCs/>
                <w:sz w:val="24"/>
                <w:szCs w:val="24"/>
              </w:rPr>
            </w:pPr>
            <w:r>
              <w:rPr>
                <w:rFonts w:hint="eastAsia" w:ascii="宋体" w:hAnsi="宋体" w:cs="宋体"/>
                <w:b/>
                <w:bCs/>
                <w:sz w:val="24"/>
              </w:rPr>
              <w:t>投标文件</w:t>
            </w:r>
          </w:p>
        </w:tc>
      </w:tr>
      <w:tr w14:paraId="092F9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06742F41">
            <w:pPr>
              <w:spacing w:line="240" w:lineRule="auto"/>
              <w:jc w:val="center"/>
              <w:rPr>
                <w:rFonts w:hint="eastAsia" w:ascii="宋体" w:hAnsi="宋体" w:eastAsia="宋体"/>
                <w:sz w:val="24"/>
                <w:szCs w:val="24"/>
                <w:highlight w:val="none"/>
                <w:lang w:eastAsia="zh-CN"/>
              </w:rPr>
            </w:pPr>
            <w:r>
              <w:rPr>
                <w:rFonts w:hint="eastAsia" w:ascii="宋体" w:hAnsi="宋体" w:cs="宋体"/>
                <w:sz w:val="24"/>
                <w:highlight w:val="none"/>
                <w:lang w:val="en-US" w:eastAsia="zh-CN"/>
              </w:rPr>
              <w:t>8</w:t>
            </w:r>
          </w:p>
        </w:tc>
        <w:tc>
          <w:tcPr>
            <w:tcW w:w="4619" w:type="pct"/>
            <w:tcBorders>
              <w:top w:val="single" w:color="auto" w:sz="2" w:space="0"/>
              <w:left w:val="single" w:color="auto" w:sz="2" w:space="0"/>
              <w:bottom w:val="single" w:color="auto" w:sz="2" w:space="0"/>
              <w:right w:val="single" w:color="auto" w:sz="2" w:space="0"/>
            </w:tcBorders>
            <w:vAlign w:val="center"/>
          </w:tcPr>
          <w:p w14:paraId="4B2A1A9B">
            <w:pPr>
              <w:pStyle w:val="8"/>
              <w:numPr>
                <w:ilvl w:val="-1"/>
                <w:numId w:val="0"/>
              </w:numPr>
              <w:spacing w:before="146" w:beforeLines="50" w:after="0" w:line="360" w:lineRule="auto"/>
              <w:ind w:left="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以下</w:t>
            </w:r>
            <w:r>
              <w:rPr>
                <w:rFonts w:hint="eastAsia" w:ascii="宋体" w:hAnsi="宋体" w:cs="宋体"/>
                <w:b w:val="0"/>
                <w:bCs w:val="0"/>
                <w:color w:val="000000" w:themeColor="text1"/>
                <w:sz w:val="24"/>
                <w:highlight w:val="none"/>
                <w14:textFill>
                  <w14:solidFill>
                    <w14:schemeClr w14:val="tx1"/>
                  </w14:solidFill>
                </w14:textFill>
              </w:rPr>
              <w:t>1、2、3、4分别密封，不得在同一密封袋内</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具体要求如下</w:t>
            </w:r>
            <w:r>
              <w:rPr>
                <w:rFonts w:hint="eastAsia" w:ascii="宋体" w:hAnsi="宋体" w:cs="宋体"/>
                <w:color w:val="000000" w:themeColor="text1"/>
                <w:sz w:val="24"/>
                <w:highlight w:val="none"/>
                <w14:textFill>
                  <w14:solidFill>
                    <w14:schemeClr w14:val="tx1"/>
                  </w14:solidFill>
                </w14:textFill>
              </w:rPr>
              <w:t>：</w:t>
            </w:r>
          </w:p>
          <w:p w14:paraId="64354426">
            <w:pPr>
              <w:pStyle w:val="8"/>
              <w:numPr>
                <w:ilvl w:val="0"/>
                <w:numId w:val="14"/>
              </w:numPr>
              <w:spacing w:after="0" w:line="360" w:lineRule="auto"/>
              <w:ind w:left="425" w:hanging="425"/>
              <w:rPr>
                <w:rFonts w:ascii="宋体" w:hAnsi="宋体" w:cs="宋体"/>
                <w:sz w:val="24"/>
                <w:highlight w:val="none"/>
              </w:rPr>
            </w:pPr>
            <w:r>
              <w:rPr>
                <w:rFonts w:hint="eastAsia" w:ascii="宋体" w:hAnsi="宋体" w:cs="宋体"/>
                <w:sz w:val="24"/>
                <w:highlight w:val="none"/>
              </w:rPr>
              <w:t>资格审查文件一份，单独密封</w:t>
            </w:r>
            <w:r>
              <w:rPr>
                <w:rFonts w:hint="eastAsia" w:ascii="宋体" w:hAnsi="宋体" w:cs="宋体"/>
                <w:sz w:val="24"/>
                <w:highlight w:val="none"/>
                <w:lang w:eastAsia="zh-CN"/>
              </w:rPr>
              <w:t>。</w:t>
            </w:r>
          </w:p>
          <w:p w14:paraId="1564598A">
            <w:pPr>
              <w:pStyle w:val="8"/>
              <w:numPr>
                <w:ilvl w:val="0"/>
                <w:numId w:val="14"/>
              </w:numPr>
              <w:spacing w:after="0" w:line="360" w:lineRule="auto"/>
              <w:ind w:left="425" w:hanging="425"/>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开标一览表</w:t>
            </w:r>
            <w:r>
              <w:rPr>
                <w:rFonts w:hint="eastAsia" w:ascii="宋体" w:hAnsi="宋体" w:cs="宋体"/>
                <w:sz w:val="24"/>
                <w:highlight w:val="none"/>
                <w:lang w:eastAsia="zh-CN"/>
              </w:rPr>
              <w:t>》</w:t>
            </w:r>
            <w:r>
              <w:rPr>
                <w:rFonts w:hint="eastAsia" w:ascii="宋体" w:hAnsi="宋体" w:cs="宋体"/>
                <w:sz w:val="24"/>
                <w:highlight w:val="none"/>
              </w:rPr>
              <w:t>纸质版加盖公章一份+</w:t>
            </w:r>
            <w:r>
              <w:rPr>
                <w:rFonts w:hint="eastAsia" w:ascii="宋体" w:hAnsi="宋体" w:cs="宋体"/>
                <w:sz w:val="24"/>
                <w:highlight w:val="none"/>
                <w:lang w:eastAsia="zh-CN"/>
              </w:rPr>
              <w:t>《</w:t>
            </w:r>
            <w:r>
              <w:rPr>
                <w:rFonts w:hint="eastAsia" w:ascii="宋体" w:hAnsi="宋体" w:cs="宋体"/>
                <w:sz w:val="24"/>
                <w:highlight w:val="none"/>
              </w:rPr>
              <w:t>开标一览表</w:t>
            </w:r>
            <w:r>
              <w:rPr>
                <w:rFonts w:hint="eastAsia" w:ascii="宋体" w:hAnsi="宋体" w:cs="宋体"/>
                <w:sz w:val="24"/>
                <w:highlight w:val="none"/>
                <w:lang w:eastAsia="zh-CN"/>
              </w:rPr>
              <w:t>》</w:t>
            </w:r>
            <w:r>
              <w:rPr>
                <w:rFonts w:hint="eastAsia" w:ascii="宋体" w:hAnsi="宋体" w:cs="宋体"/>
                <w:sz w:val="24"/>
                <w:highlight w:val="none"/>
              </w:rPr>
              <w:t>USB设备存储的</w:t>
            </w:r>
            <w:r>
              <w:rPr>
                <w:rFonts w:hint="eastAsia" w:ascii="宋体" w:hAnsi="宋体" w:cs="宋体"/>
                <w:b/>
                <w:bCs/>
                <w:sz w:val="24"/>
                <w:highlight w:val="none"/>
              </w:rPr>
              <w:t>EXCEL</w:t>
            </w:r>
            <w:r>
              <w:rPr>
                <w:rFonts w:hint="eastAsia" w:ascii="宋体" w:hAnsi="宋体" w:cs="宋体"/>
                <w:sz w:val="24"/>
                <w:highlight w:val="none"/>
              </w:rPr>
              <w:t>电子版一份</w:t>
            </w:r>
            <w:r>
              <w:rPr>
                <w:rFonts w:hint="eastAsia" w:ascii="宋体" w:hAnsi="宋体" w:cs="宋体"/>
                <w:sz w:val="24"/>
                <w:highlight w:val="none"/>
                <w:lang w:eastAsia="zh-CN"/>
              </w:rPr>
              <w:t>。</w:t>
            </w:r>
            <w:r>
              <w:rPr>
                <w:rFonts w:hint="eastAsia" w:ascii="宋体" w:hAnsi="宋体" w:cs="宋体"/>
                <w:sz w:val="24"/>
                <w:highlight w:val="none"/>
                <w:lang w:val="en-US" w:eastAsia="zh-CN"/>
              </w:rPr>
              <w:t>各项内容和顺序不允许改动，</w:t>
            </w:r>
            <w:r>
              <w:rPr>
                <w:rFonts w:hint="eastAsia" w:ascii="宋体" w:hAnsi="宋体" w:cs="宋体"/>
                <w:sz w:val="24"/>
                <w:highlight w:val="none"/>
              </w:rPr>
              <w:t>USB接口存储设备不退还</w:t>
            </w:r>
            <w:r>
              <w:rPr>
                <w:rFonts w:hint="eastAsia" w:ascii="宋体" w:hAnsi="宋体" w:cs="宋体"/>
                <w:b w:val="0"/>
                <w:sz w:val="24"/>
                <w:highlight w:val="none"/>
              </w:rPr>
              <w:t>。</w:t>
            </w:r>
          </w:p>
          <w:p w14:paraId="1BB1083E">
            <w:pPr>
              <w:pStyle w:val="8"/>
              <w:numPr>
                <w:ilvl w:val="0"/>
                <w:numId w:val="14"/>
              </w:numPr>
              <w:spacing w:after="0" w:line="360" w:lineRule="auto"/>
              <w:ind w:left="425" w:hanging="425"/>
              <w:rPr>
                <w:rFonts w:hint="eastAsia" w:ascii="宋体" w:hAnsi="宋体" w:cs="宋体"/>
                <w:sz w:val="24"/>
                <w:highlight w:val="none"/>
              </w:rPr>
            </w:pPr>
            <w:r>
              <w:rPr>
                <w:rFonts w:hint="eastAsia" w:ascii="宋体" w:hAnsi="宋体" w:cs="宋体"/>
                <w:sz w:val="24"/>
                <w:highlight w:val="none"/>
              </w:rPr>
              <w:t>技术文件正本一份和副本</w:t>
            </w:r>
            <w:r>
              <w:rPr>
                <w:rFonts w:hint="eastAsia" w:ascii="宋体" w:hAnsi="宋体" w:cs="宋体"/>
                <w:sz w:val="24"/>
                <w:highlight w:val="none"/>
                <w:lang w:val="en-US" w:eastAsia="zh-CN"/>
              </w:rPr>
              <w:t>六</w:t>
            </w:r>
            <w:r>
              <w:rPr>
                <w:rFonts w:hint="eastAsia" w:ascii="宋体" w:hAnsi="宋体" w:cs="宋体"/>
                <w:sz w:val="24"/>
                <w:highlight w:val="none"/>
              </w:rPr>
              <w:t>份，正、副本密封在一起，正本在最上。</w:t>
            </w:r>
          </w:p>
          <w:p w14:paraId="73E6B1AB">
            <w:pPr>
              <w:pStyle w:val="8"/>
              <w:numPr>
                <w:ilvl w:val="0"/>
                <w:numId w:val="14"/>
              </w:numPr>
              <w:spacing w:after="0" w:line="360" w:lineRule="auto"/>
              <w:ind w:left="425" w:hanging="425"/>
              <w:rPr>
                <w:rFonts w:ascii="宋体" w:hAnsi="宋体"/>
                <w:sz w:val="24"/>
                <w:highlight w:val="none"/>
              </w:rPr>
            </w:pPr>
            <w:r>
              <w:rPr>
                <w:rFonts w:hint="eastAsia" w:ascii="宋体" w:hAnsi="宋体" w:cs="宋体"/>
                <w:sz w:val="24"/>
                <w:highlight w:val="none"/>
              </w:rPr>
              <w:t>商务文件正本一份和副本</w:t>
            </w:r>
            <w:r>
              <w:rPr>
                <w:rFonts w:hint="eastAsia" w:ascii="宋体" w:hAnsi="宋体" w:cs="宋体"/>
                <w:sz w:val="24"/>
                <w:highlight w:val="none"/>
                <w:lang w:val="en-US" w:eastAsia="zh-CN"/>
              </w:rPr>
              <w:t>六</w:t>
            </w:r>
            <w:r>
              <w:rPr>
                <w:rFonts w:hint="eastAsia" w:ascii="宋体" w:hAnsi="宋体" w:cs="宋体"/>
                <w:sz w:val="24"/>
                <w:highlight w:val="none"/>
              </w:rPr>
              <w:t>份，正</w:t>
            </w:r>
            <w:r>
              <w:rPr>
                <w:rFonts w:hint="eastAsia" w:ascii="宋体" w:hAnsi="宋体" w:cs="宋体"/>
                <w:sz w:val="24"/>
                <w:szCs w:val="24"/>
                <w:highlight w:val="none"/>
              </w:rPr>
              <w:t>、副本密封在一起，正本在最上。</w:t>
            </w:r>
          </w:p>
        </w:tc>
      </w:tr>
      <w:tr w14:paraId="41E90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EBFA8E9">
            <w:pPr>
              <w:spacing w:line="240" w:lineRule="auto"/>
              <w:jc w:val="center"/>
              <w:rPr>
                <w:rFonts w:hint="eastAsia" w:ascii="宋体" w:hAnsi="宋体" w:eastAsia="宋体"/>
                <w:sz w:val="24"/>
                <w:szCs w:val="24"/>
                <w:highlight w:val="none"/>
                <w:lang w:eastAsia="zh-CN"/>
              </w:rPr>
            </w:pPr>
            <w:r>
              <w:rPr>
                <w:rFonts w:hint="eastAsia" w:ascii="宋体" w:hAnsi="宋体" w:cs="宋体"/>
                <w:sz w:val="24"/>
                <w:highlight w:val="none"/>
                <w:lang w:val="en-US" w:eastAsia="zh-CN"/>
              </w:rPr>
              <w:t>9</w:t>
            </w:r>
          </w:p>
        </w:tc>
        <w:tc>
          <w:tcPr>
            <w:tcW w:w="4619" w:type="pct"/>
            <w:tcBorders>
              <w:top w:val="single" w:color="auto" w:sz="2" w:space="0"/>
              <w:left w:val="single" w:color="auto" w:sz="2" w:space="0"/>
              <w:bottom w:val="single" w:color="auto" w:sz="2" w:space="0"/>
              <w:right w:val="single" w:color="auto" w:sz="2" w:space="0"/>
            </w:tcBorders>
            <w:vAlign w:val="center"/>
          </w:tcPr>
          <w:p w14:paraId="7B276782">
            <w:pPr>
              <w:spacing w:before="146" w:beforeLines="50" w:line="360" w:lineRule="auto"/>
              <w:ind w:firstLine="480" w:firstLineChars="200"/>
              <w:rPr>
                <w:rFonts w:ascii="宋体" w:hAnsi="宋体" w:cs="宋体"/>
                <w:sz w:val="24"/>
                <w:highlight w:val="none"/>
              </w:rPr>
            </w:pPr>
            <w:r>
              <w:rPr>
                <w:rFonts w:hint="eastAsia" w:ascii="宋体" w:hAnsi="宋体" w:cs="宋体"/>
                <w:sz w:val="24"/>
                <w:highlight w:val="none"/>
              </w:rPr>
              <w:t>投标文件密封和标记</w:t>
            </w:r>
            <w:r>
              <w:rPr>
                <w:rFonts w:hint="eastAsia" w:ascii="宋体" w:hAnsi="宋体" w:cs="宋体"/>
                <w:sz w:val="24"/>
                <w:highlight w:val="none"/>
                <w:lang w:val="en-US" w:eastAsia="zh-CN"/>
              </w:rPr>
              <w:t>要求</w:t>
            </w:r>
            <w:r>
              <w:rPr>
                <w:rFonts w:hint="eastAsia" w:ascii="宋体" w:hAnsi="宋体" w:cs="宋体"/>
                <w:sz w:val="24"/>
                <w:highlight w:val="none"/>
              </w:rPr>
              <w:t>：将上述1、2</w:t>
            </w:r>
            <w:r>
              <w:rPr>
                <w:rFonts w:hint="eastAsia" w:ascii="宋体" w:hAnsi="宋体" w:cs="宋体"/>
                <w:sz w:val="24"/>
                <w:highlight w:val="none"/>
                <w:lang w:eastAsia="zh-CN"/>
              </w:rPr>
              <w:t>、</w:t>
            </w:r>
            <w:r>
              <w:rPr>
                <w:rFonts w:hint="eastAsia" w:ascii="宋体" w:hAnsi="宋体" w:cs="宋体"/>
                <w:sz w:val="24"/>
                <w:highlight w:val="none"/>
                <w:lang w:val="en-US" w:eastAsia="zh-CN"/>
              </w:rPr>
              <w:t>3、4</w:t>
            </w:r>
            <w:r>
              <w:rPr>
                <w:rFonts w:hint="eastAsia" w:ascii="宋体" w:hAnsi="宋体" w:cs="宋体"/>
                <w:sz w:val="24"/>
                <w:highlight w:val="none"/>
              </w:rPr>
              <w:t>分别密封后再密封在一个包封内，并在封面明显处注明以下内容：</w:t>
            </w:r>
          </w:p>
          <w:p w14:paraId="15F6B0D7">
            <w:pPr>
              <w:numPr>
                <w:ilvl w:val="0"/>
                <w:numId w:val="15"/>
              </w:numPr>
              <w:spacing w:before="146" w:beforeLines="50" w:line="360" w:lineRule="auto"/>
              <w:ind w:left="425" w:hanging="425" w:firstLineChars="0"/>
              <w:rPr>
                <w:rFonts w:ascii="宋体" w:hAnsi="宋体"/>
                <w:sz w:val="24"/>
                <w:highlight w:val="none"/>
              </w:rPr>
            </w:pPr>
            <w:r>
              <w:rPr>
                <w:rFonts w:hint="eastAsia" w:ascii="宋体" w:hAnsi="宋体" w:cs="宋体"/>
                <w:sz w:val="24"/>
                <w:highlight w:val="none"/>
              </w:rPr>
              <w:t>项目编号、项目名称</w:t>
            </w:r>
            <w:r>
              <w:rPr>
                <w:rFonts w:hint="eastAsia" w:ascii="宋体" w:hAnsi="宋体" w:cs="宋体"/>
                <w:sz w:val="24"/>
                <w:highlight w:val="none"/>
                <w:lang w:eastAsia="zh-CN"/>
              </w:rPr>
              <w:t>。</w:t>
            </w:r>
          </w:p>
          <w:p w14:paraId="7474FC77">
            <w:pPr>
              <w:numPr>
                <w:ilvl w:val="0"/>
                <w:numId w:val="15"/>
              </w:numPr>
              <w:spacing w:line="360" w:lineRule="auto"/>
              <w:ind w:left="425" w:hanging="425" w:firstLineChars="0"/>
              <w:rPr>
                <w:rFonts w:ascii="宋体" w:hAnsi="宋体"/>
                <w:sz w:val="24"/>
                <w:highlight w:val="none"/>
              </w:rPr>
            </w:pPr>
            <w:r>
              <w:rPr>
                <w:rFonts w:hint="eastAsia" w:ascii="宋体" w:hAnsi="宋体" w:cs="宋体"/>
                <w:sz w:val="24"/>
                <w:highlight w:val="none"/>
              </w:rPr>
              <w:t>招标文件正本和副本、电子版或开标一览表</w:t>
            </w:r>
            <w:r>
              <w:rPr>
                <w:rFonts w:hint="eastAsia" w:ascii="宋体" w:hAnsi="宋体" w:cs="宋体"/>
                <w:sz w:val="24"/>
                <w:highlight w:val="none"/>
                <w:lang w:eastAsia="zh-CN"/>
              </w:rPr>
              <w:t>。</w:t>
            </w:r>
          </w:p>
          <w:p w14:paraId="75513E67">
            <w:pPr>
              <w:numPr>
                <w:ilvl w:val="0"/>
                <w:numId w:val="15"/>
              </w:numPr>
              <w:spacing w:line="360" w:lineRule="auto"/>
              <w:ind w:left="425" w:hanging="425" w:firstLineChars="0"/>
              <w:rPr>
                <w:rFonts w:ascii="宋体" w:hAnsi="宋体"/>
                <w:sz w:val="24"/>
                <w:highlight w:val="none"/>
              </w:rPr>
            </w:pPr>
            <w:r>
              <w:rPr>
                <w:rFonts w:hint="eastAsia" w:ascii="宋体" w:hAnsi="宋体" w:cs="宋体"/>
                <w:sz w:val="24"/>
                <w:highlight w:val="none"/>
              </w:rPr>
              <w:t>投标人名称（加盖公章）、地址、邮编、电话、传真</w:t>
            </w:r>
            <w:r>
              <w:rPr>
                <w:rFonts w:hint="eastAsia" w:ascii="宋体" w:hAnsi="宋体" w:cs="宋体"/>
                <w:sz w:val="24"/>
                <w:highlight w:val="none"/>
                <w:lang w:eastAsia="zh-CN"/>
              </w:rPr>
              <w:t>。</w:t>
            </w:r>
          </w:p>
          <w:p w14:paraId="25EEC544">
            <w:pPr>
              <w:numPr>
                <w:ilvl w:val="0"/>
                <w:numId w:val="15"/>
              </w:numPr>
              <w:spacing w:line="360" w:lineRule="auto"/>
              <w:ind w:left="425" w:hanging="425" w:firstLineChars="0"/>
              <w:rPr>
                <w:rFonts w:ascii="宋体" w:hAnsi="宋体" w:cs="宋体"/>
                <w:sz w:val="24"/>
                <w:highlight w:val="none"/>
              </w:rPr>
            </w:pPr>
            <w:r>
              <w:rPr>
                <w:rFonts w:hint="eastAsia" w:ascii="宋体" w:hAnsi="宋体" w:cs="宋体"/>
                <w:sz w:val="24"/>
                <w:highlight w:val="none"/>
              </w:rPr>
              <w:t>每一密封件在封口处注明“于</w:t>
            </w:r>
            <w:r>
              <w:rPr>
                <w:rFonts w:hint="eastAsia" w:ascii="宋体" w:hAnsi="宋体" w:cs="宋体"/>
                <w:sz w:val="24"/>
                <w:highlight w:val="green"/>
                <w:u w:val="single"/>
              </w:rPr>
              <w:t xml:space="preserve"> </w:t>
            </w:r>
            <w:r>
              <w:rPr>
                <w:rFonts w:hint="eastAsia" w:ascii="宋体" w:hAnsi="宋体" w:cs="宋体"/>
                <w:sz w:val="24"/>
                <w:highlight w:val="green"/>
                <w:u w:val="single"/>
                <w:lang w:eastAsia="zh-CN"/>
              </w:rPr>
              <w:t>202</w:t>
            </w:r>
            <w:r>
              <w:rPr>
                <w:rFonts w:hint="eastAsia" w:ascii="宋体" w:hAnsi="宋体" w:cs="宋体"/>
                <w:sz w:val="24"/>
                <w:highlight w:val="green"/>
                <w:u w:val="single"/>
                <w:lang w:val="en-US" w:eastAsia="zh-CN"/>
              </w:rPr>
              <w:t xml:space="preserve">5 </w:t>
            </w:r>
            <w:r>
              <w:rPr>
                <w:rFonts w:hint="eastAsia" w:ascii="宋体" w:hAnsi="宋体" w:cs="宋体"/>
                <w:sz w:val="24"/>
                <w:highlight w:val="green"/>
              </w:rPr>
              <w:t>年</w:t>
            </w:r>
            <w:r>
              <w:rPr>
                <w:rFonts w:hint="eastAsia" w:ascii="宋体" w:hAnsi="宋体" w:cs="宋体"/>
                <w:sz w:val="24"/>
                <w:highlight w:val="green"/>
                <w:u w:val="single"/>
                <w:lang w:val="en-US" w:eastAsia="zh-CN"/>
              </w:rPr>
              <w:t>10</w:t>
            </w:r>
            <w:r>
              <w:rPr>
                <w:rFonts w:hint="eastAsia" w:ascii="宋体" w:hAnsi="宋体" w:cs="宋体"/>
                <w:sz w:val="24"/>
                <w:highlight w:val="green"/>
              </w:rPr>
              <w:t>月</w:t>
            </w:r>
            <w:r>
              <w:rPr>
                <w:rFonts w:hint="eastAsia" w:ascii="宋体" w:hAnsi="宋体" w:cs="宋体"/>
                <w:sz w:val="24"/>
                <w:highlight w:val="green"/>
                <w:u w:val="single"/>
                <w:lang w:val="en-US" w:eastAsia="zh-CN"/>
              </w:rPr>
              <w:t>11</w:t>
            </w:r>
            <w:r>
              <w:rPr>
                <w:rFonts w:hint="eastAsia" w:ascii="宋体" w:hAnsi="宋体" w:cs="宋体"/>
                <w:sz w:val="24"/>
                <w:highlight w:val="green"/>
              </w:rPr>
              <w:t>日</w:t>
            </w:r>
            <w:r>
              <w:rPr>
                <w:rFonts w:hint="eastAsia" w:ascii="宋体" w:hAnsi="宋体" w:cs="宋体"/>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分之前不准启封”字样。</w:t>
            </w:r>
          </w:p>
          <w:p w14:paraId="550F4C7D">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14:paraId="572BA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54"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64A1103B">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0</w:t>
            </w:r>
          </w:p>
        </w:tc>
        <w:tc>
          <w:tcPr>
            <w:tcW w:w="4619" w:type="pct"/>
            <w:tcBorders>
              <w:top w:val="single" w:color="auto" w:sz="2" w:space="0"/>
              <w:left w:val="single" w:color="auto" w:sz="2" w:space="0"/>
              <w:bottom w:val="single" w:color="auto" w:sz="2" w:space="0"/>
              <w:right w:val="single" w:color="auto" w:sz="2" w:space="0"/>
            </w:tcBorders>
            <w:vAlign w:val="center"/>
          </w:tcPr>
          <w:p w14:paraId="408BF6AD">
            <w:pPr>
              <w:pStyle w:val="8"/>
              <w:spacing w:before="146" w:beforeLines="50" w:after="0" w:line="360" w:lineRule="auto"/>
              <w:ind w:firstLine="0" w:firstLineChars="0"/>
              <w:rPr>
                <w:rFonts w:ascii="宋体" w:hAnsi="宋体" w:cs="宋体"/>
                <w:sz w:val="24"/>
              </w:rPr>
            </w:pPr>
            <w:r>
              <w:rPr>
                <w:rFonts w:hint="eastAsia" w:ascii="宋体" w:hAnsi="宋体" w:cs="宋体"/>
                <w:sz w:val="24"/>
              </w:rPr>
              <w:t>投标文件的装订：</w:t>
            </w:r>
          </w:p>
          <w:p w14:paraId="61E8F23A">
            <w:pPr>
              <w:pStyle w:val="8"/>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14:paraId="74FEB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575DDE91">
            <w:pPr>
              <w:spacing w:line="240" w:lineRule="auto"/>
              <w:jc w:val="center"/>
              <w:rPr>
                <w:rFonts w:ascii="宋体" w:hAnsi="宋体"/>
                <w:b/>
                <w:bCs/>
                <w:sz w:val="24"/>
                <w:szCs w:val="24"/>
              </w:rPr>
            </w:pPr>
            <w:r>
              <w:rPr>
                <w:rFonts w:hint="eastAsia" w:ascii="宋体" w:hAnsi="宋体" w:cs="宋体"/>
                <w:b/>
                <w:bCs/>
                <w:sz w:val="24"/>
              </w:rPr>
              <w:t>投标保证金及投标有效期</w:t>
            </w:r>
          </w:p>
        </w:tc>
      </w:tr>
      <w:tr w14:paraId="45F8E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8"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77F67C9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1</w:t>
            </w:r>
          </w:p>
        </w:tc>
        <w:tc>
          <w:tcPr>
            <w:tcW w:w="4619" w:type="pct"/>
            <w:tcBorders>
              <w:top w:val="single" w:color="auto" w:sz="2" w:space="0"/>
              <w:left w:val="single" w:color="auto" w:sz="2" w:space="0"/>
              <w:bottom w:val="single" w:color="auto" w:sz="2" w:space="0"/>
              <w:right w:val="single" w:color="auto" w:sz="2" w:space="0"/>
            </w:tcBorders>
            <w:vAlign w:val="center"/>
          </w:tcPr>
          <w:p w14:paraId="6CDB4B06">
            <w:pPr>
              <w:numPr>
                <w:ilvl w:val="0"/>
                <w:numId w:val="16"/>
              </w:numPr>
              <w:spacing w:before="146" w:beforeLines="50" w:line="360" w:lineRule="auto"/>
              <w:ind w:left="425" w:hanging="425" w:firstLineChars="0"/>
              <w:rPr>
                <w:sz w:val="24"/>
                <w:highlight w:val="none"/>
              </w:rPr>
            </w:pPr>
            <w:r>
              <w:rPr>
                <w:rFonts w:hint="eastAsia"/>
                <w:sz w:val="24"/>
                <w:highlight w:val="none"/>
              </w:rPr>
              <w:t>投标保证金的</w:t>
            </w:r>
            <w:r>
              <w:rPr>
                <w:rFonts w:hint="eastAsia"/>
                <w:sz w:val="24"/>
                <w:highlight w:val="none"/>
                <w:lang w:val="en-US" w:eastAsia="zh-CN"/>
              </w:rPr>
              <w:t>缴纳</w:t>
            </w:r>
            <w:r>
              <w:rPr>
                <w:rFonts w:hint="eastAsia"/>
                <w:sz w:val="24"/>
                <w:highlight w:val="none"/>
              </w:rPr>
              <w:t>形式：</w:t>
            </w:r>
            <w:r>
              <w:rPr>
                <w:rFonts w:hint="eastAsia" w:ascii="宋体" w:hAnsi="宋体" w:cs="宋体"/>
                <w:sz w:val="24"/>
                <w:highlight w:val="none"/>
              </w:rPr>
              <w:t>电汇或网银</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p>
          <w:p w14:paraId="367AB72F">
            <w:pPr>
              <w:numPr>
                <w:ilvl w:val="0"/>
                <w:numId w:val="16"/>
              </w:numPr>
              <w:spacing w:line="360" w:lineRule="auto"/>
              <w:ind w:left="425" w:hanging="425" w:firstLineChars="0"/>
              <w:rPr>
                <w:i/>
                <w:iCs/>
                <w:sz w:val="24"/>
                <w:highlight w:val="none"/>
              </w:rPr>
            </w:pPr>
            <w:r>
              <w:rPr>
                <w:rFonts w:hint="eastAsia"/>
                <w:sz w:val="24"/>
                <w:highlight w:val="none"/>
              </w:rPr>
              <w:t>投标保证金的金额：</w:t>
            </w:r>
            <w:r>
              <w:rPr>
                <w:rFonts w:hint="eastAsia"/>
                <w:b/>
                <w:sz w:val="24"/>
                <w:highlight w:val="none"/>
              </w:rPr>
              <w:t>人民币</w:t>
            </w:r>
            <w:r>
              <w:rPr>
                <w:b/>
                <w:sz w:val="24"/>
                <w:highlight w:val="none"/>
                <w:u w:val="single"/>
              </w:rPr>
              <w:t xml:space="preserve"> </w:t>
            </w:r>
            <w:r>
              <w:rPr>
                <w:rFonts w:hint="eastAsia"/>
                <w:b/>
                <w:sz w:val="24"/>
                <w:highlight w:val="none"/>
                <w:u w:val="single"/>
                <w:lang w:val="en-US" w:eastAsia="zh-CN"/>
              </w:rPr>
              <w:t>50</w:t>
            </w:r>
            <w:r>
              <w:rPr>
                <w:rFonts w:hint="eastAsia"/>
                <w:b/>
                <w:sz w:val="24"/>
                <w:highlight w:val="none"/>
                <w:u w:val="single"/>
              </w:rPr>
              <w:t xml:space="preserve"> </w:t>
            </w:r>
            <w:r>
              <w:rPr>
                <w:rFonts w:hint="eastAsia"/>
                <w:b/>
                <w:sz w:val="24"/>
                <w:highlight w:val="none"/>
              </w:rPr>
              <w:t>万元（</w:t>
            </w:r>
            <w:r>
              <w:rPr>
                <w:rFonts w:hint="eastAsia"/>
                <w:b/>
                <w:sz w:val="24"/>
                <w:highlight w:val="none"/>
                <w:lang w:val="en-US" w:eastAsia="zh-CN"/>
              </w:rPr>
              <w:t>五十</w:t>
            </w:r>
            <w:r>
              <w:rPr>
                <w:rFonts w:hint="eastAsia"/>
                <w:b/>
                <w:sz w:val="24"/>
                <w:highlight w:val="none"/>
              </w:rPr>
              <w:t>万元整）</w:t>
            </w:r>
          </w:p>
          <w:p w14:paraId="3353A83F">
            <w:pPr>
              <w:spacing w:before="146" w:beforeLines="50" w:line="360" w:lineRule="auto"/>
              <w:ind w:firstLine="960" w:firstLineChars="400"/>
              <w:rPr>
                <w:sz w:val="24"/>
                <w:highlight w:val="none"/>
              </w:rPr>
            </w:pPr>
            <w:r>
              <w:rPr>
                <w:rFonts w:hint="eastAsia"/>
                <w:sz w:val="24"/>
                <w:highlight w:val="none"/>
              </w:rPr>
              <w:t>账户名称：</w:t>
            </w:r>
            <w:r>
              <w:rPr>
                <w:rFonts w:ascii="宋体" w:hAnsi="宋体" w:eastAsia="宋体" w:cs="宋体"/>
                <w:sz w:val="24"/>
                <w:szCs w:val="24"/>
              </w:rPr>
              <w:t>中国重汽集团济南动力有限公司</w:t>
            </w:r>
          </w:p>
          <w:p w14:paraId="26CFE2B4">
            <w:pPr>
              <w:spacing w:line="360" w:lineRule="auto"/>
              <w:ind w:firstLine="960" w:firstLineChars="400"/>
              <w:rPr>
                <w:sz w:val="24"/>
                <w:highlight w:val="none"/>
              </w:rPr>
            </w:pPr>
            <w:r>
              <w:rPr>
                <w:rFonts w:hint="eastAsia"/>
                <w:sz w:val="24"/>
                <w:highlight w:val="none"/>
              </w:rPr>
              <w:t>开户银行：</w:t>
            </w:r>
            <w:r>
              <w:rPr>
                <w:rFonts w:ascii="宋体" w:hAnsi="宋体" w:eastAsia="宋体" w:cs="宋体"/>
                <w:sz w:val="24"/>
                <w:szCs w:val="24"/>
              </w:rPr>
              <w:t>中国建设银行济南市天桥区支行</w:t>
            </w:r>
          </w:p>
          <w:p w14:paraId="5117864B">
            <w:pPr>
              <w:spacing w:line="360" w:lineRule="auto"/>
              <w:ind w:firstLine="960" w:firstLineChars="400"/>
              <w:rPr>
                <w:sz w:val="24"/>
                <w:highlight w:val="none"/>
              </w:rPr>
            </w:pPr>
            <w:r>
              <w:rPr>
                <w:rFonts w:hint="eastAsia"/>
                <w:sz w:val="24"/>
                <w:highlight w:val="none"/>
              </w:rPr>
              <w:t>账    号：</w:t>
            </w:r>
            <w:r>
              <w:rPr>
                <w:rFonts w:ascii="宋体" w:hAnsi="宋体" w:eastAsia="宋体" w:cs="宋体"/>
                <w:sz w:val="24"/>
                <w:szCs w:val="24"/>
              </w:rPr>
              <w:t>37001616508050150300</w:t>
            </w:r>
          </w:p>
          <w:p w14:paraId="187C7EEC">
            <w:pPr>
              <w:spacing w:line="360" w:lineRule="auto"/>
              <w:ind w:firstLine="960" w:firstLineChars="400"/>
              <w:rPr>
                <w:rFonts w:hint="eastAsia"/>
                <w:sz w:val="24"/>
                <w:highlight w:val="none"/>
                <w:lang w:eastAsia="zh-CN"/>
              </w:rPr>
            </w:pPr>
            <w:r>
              <w:rPr>
                <w:rFonts w:hint="eastAsia"/>
                <w:sz w:val="24"/>
                <w:highlight w:val="none"/>
              </w:rPr>
              <w:t>汇款备注：</w:t>
            </w:r>
            <w:r>
              <w:rPr>
                <w:rFonts w:hint="eastAsia"/>
                <w:sz w:val="24"/>
                <w:highlight w:val="none"/>
                <w:lang w:val="en-US" w:eastAsia="zh-CN"/>
              </w:rPr>
              <w:t>2025年轻型车</w:t>
            </w:r>
            <w:r>
              <w:rPr>
                <w:rFonts w:hint="eastAsia"/>
                <w:sz w:val="24"/>
                <w:highlight w:val="none"/>
                <w:lang w:eastAsia="zh-CN"/>
              </w:rPr>
              <w:t>运输项目投标保证金</w:t>
            </w:r>
          </w:p>
          <w:p w14:paraId="7111C38C">
            <w:pPr>
              <w:numPr>
                <w:ilvl w:val="0"/>
                <w:numId w:val="16"/>
              </w:numPr>
              <w:spacing w:line="360" w:lineRule="auto"/>
              <w:ind w:left="425" w:hanging="425" w:firstLineChars="0"/>
              <w:rPr>
                <w:sz w:val="24"/>
                <w:highlight w:val="none"/>
              </w:rPr>
            </w:pPr>
            <w:r>
              <w:rPr>
                <w:rFonts w:hint="eastAsia"/>
                <w:sz w:val="24"/>
                <w:highlight w:val="none"/>
              </w:rPr>
              <w:t>保证金截止时间：</w:t>
            </w:r>
            <w:r>
              <w:rPr>
                <w:rFonts w:hint="eastAsia"/>
                <w:b w:val="0"/>
                <w:bCs/>
                <w:sz w:val="24"/>
                <w:highlight w:val="green"/>
                <w:u w:val="single"/>
                <w:lang w:eastAsia="zh-CN"/>
              </w:rPr>
              <w:t>2025</w:t>
            </w:r>
            <w:r>
              <w:rPr>
                <w:rFonts w:hint="eastAsia"/>
                <w:b w:val="0"/>
                <w:bCs/>
                <w:sz w:val="24"/>
                <w:highlight w:val="green"/>
                <w:u w:val="single"/>
              </w:rPr>
              <w:t>年</w:t>
            </w:r>
            <w:r>
              <w:rPr>
                <w:rFonts w:hint="eastAsia"/>
                <w:b w:val="0"/>
                <w:bCs/>
                <w:sz w:val="24"/>
                <w:highlight w:val="green"/>
                <w:u w:val="single"/>
                <w:lang w:val="en-US" w:eastAsia="zh-CN"/>
              </w:rPr>
              <w:t>10</w:t>
            </w:r>
            <w:r>
              <w:rPr>
                <w:rFonts w:hint="eastAsia"/>
                <w:b w:val="0"/>
                <w:bCs/>
                <w:sz w:val="24"/>
                <w:highlight w:val="green"/>
                <w:u w:val="single"/>
              </w:rPr>
              <w:t>月</w:t>
            </w:r>
            <w:r>
              <w:rPr>
                <w:rFonts w:hint="eastAsia"/>
                <w:b w:val="0"/>
                <w:bCs/>
                <w:sz w:val="24"/>
                <w:highlight w:val="green"/>
                <w:u w:val="single"/>
                <w:lang w:val="en-US" w:eastAsia="zh-CN"/>
              </w:rPr>
              <w:t>9</w:t>
            </w:r>
            <w:r>
              <w:rPr>
                <w:rFonts w:hint="eastAsia"/>
                <w:b w:val="0"/>
                <w:bCs/>
                <w:sz w:val="24"/>
                <w:highlight w:val="green"/>
                <w:u w:val="single"/>
              </w:rPr>
              <w:t>日</w:t>
            </w:r>
            <w:r>
              <w:rPr>
                <w:rFonts w:hint="eastAsia"/>
                <w:b w:val="0"/>
                <w:bCs/>
                <w:sz w:val="24"/>
                <w:highlight w:val="green"/>
                <w:u w:val="single"/>
                <w:lang w:val="en-US" w:eastAsia="zh-CN"/>
              </w:rPr>
              <w:t>12</w:t>
            </w:r>
            <w:r>
              <w:rPr>
                <w:rFonts w:hint="eastAsia"/>
                <w:b w:val="0"/>
                <w:bCs/>
                <w:sz w:val="24"/>
                <w:highlight w:val="green"/>
                <w:u w:val="single"/>
              </w:rPr>
              <w:t>时</w:t>
            </w:r>
            <w:r>
              <w:rPr>
                <w:b w:val="0"/>
                <w:bCs/>
                <w:sz w:val="24"/>
                <w:highlight w:val="green"/>
                <w:u w:val="single"/>
              </w:rPr>
              <w:t>00</w:t>
            </w:r>
            <w:r>
              <w:rPr>
                <w:rFonts w:hint="eastAsia"/>
                <w:b w:val="0"/>
                <w:bCs/>
                <w:sz w:val="24"/>
                <w:highlight w:val="green"/>
                <w:u w:val="single"/>
              </w:rPr>
              <w:t>分前</w:t>
            </w:r>
            <w:r>
              <w:rPr>
                <w:rFonts w:hint="eastAsia"/>
                <w:b w:val="0"/>
                <w:bCs/>
                <w:sz w:val="24"/>
                <w:highlight w:val="none"/>
                <w:u w:val="single"/>
                <w:lang w:eastAsia="zh-CN"/>
              </w:rPr>
              <w:t>。</w:t>
            </w:r>
          </w:p>
          <w:p w14:paraId="45E1FB4B">
            <w:pPr>
              <w:numPr>
                <w:ilvl w:val="0"/>
                <w:numId w:val="16"/>
              </w:numPr>
              <w:spacing w:line="360" w:lineRule="auto"/>
              <w:ind w:left="425" w:hanging="425" w:firstLineChars="0"/>
              <w:rPr>
                <w:sz w:val="24"/>
                <w:highlight w:val="none"/>
              </w:rPr>
            </w:pPr>
            <w:r>
              <w:rPr>
                <w:rFonts w:hint="eastAsia"/>
                <w:sz w:val="24"/>
                <w:highlight w:val="none"/>
              </w:rPr>
              <w:t>投标保证金应从投标人的基本账户转出至上述账户并到账，否则视为无效投标。</w:t>
            </w:r>
          </w:p>
          <w:p w14:paraId="211911C4">
            <w:pPr>
              <w:numPr>
                <w:ilvl w:val="0"/>
                <w:numId w:val="16"/>
              </w:numPr>
              <w:spacing w:line="360" w:lineRule="auto"/>
              <w:ind w:left="425" w:hanging="425" w:firstLineChars="0"/>
              <w:rPr>
                <w:rFonts w:hint="eastAsia" w:ascii="宋体" w:hAnsi="宋体" w:cs="宋体"/>
                <w:sz w:val="24"/>
                <w:szCs w:val="24"/>
                <w:lang w:val="en-US" w:eastAsia="zh-CN"/>
              </w:rPr>
            </w:pPr>
            <w:r>
              <w:rPr>
                <w:rFonts w:hint="eastAsia"/>
                <w:bCs/>
                <w:sz w:val="24"/>
                <w:highlight w:val="none"/>
              </w:rPr>
              <w:t>投标人应充分考虑银行信息交换时间，由此带来的保证金不能按时到帐的责任由投标人自行承担。</w:t>
            </w:r>
          </w:p>
          <w:p w14:paraId="401FB9BA">
            <w:pPr>
              <w:numPr>
                <w:ilvl w:val="0"/>
                <w:numId w:val="16"/>
              </w:numPr>
              <w:spacing w:line="360" w:lineRule="auto"/>
              <w:ind w:left="425" w:hanging="425" w:firstLineChars="0"/>
              <w:rPr>
                <w:rFonts w:hint="eastAsia" w:ascii="宋体" w:hAnsi="宋体" w:cs="宋体"/>
                <w:color w:val="000000"/>
                <w:sz w:val="24"/>
                <w:szCs w:val="24"/>
                <w:highlight w:val="none"/>
                <w:lang w:val="en-US" w:eastAsia="zh-CN"/>
              </w:rPr>
            </w:pP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lang w:val="en-US" w:eastAsia="zh-CN"/>
              </w:rPr>
              <w:t>）在报名和应标时在E采通上传。</w:t>
            </w:r>
          </w:p>
          <w:p w14:paraId="550F3E58">
            <w:pPr>
              <w:spacing w:line="360" w:lineRule="auto"/>
              <w:ind w:firstLine="482" w:firstLineChars="200"/>
              <w:rPr>
                <w:rFonts w:hint="default" w:ascii="宋体" w:hAnsi="宋体" w:eastAsia="宋体"/>
                <w:b/>
                <w:bCs/>
                <w:sz w:val="24"/>
                <w:szCs w:val="24"/>
                <w:lang w:val="en-US" w:eastAsia="zh-CN"/>
              </w:rPr>
            </w:pPr>
            <w:r>
              <w:rPr>
                <w:rFonts w:hint="eastAsia" w:ascii="宋体" w:hAnsi="宋体" w:cs="宋体"/>
                <w:b/>
                <w:bCs/>
                <w:color w:val="000000"/>
                <w:sz w:val="24"/>
                <w:szCs w:val="24"/>
                <w:highlight w:val="none"/>
                <w:lang w:val="en-US" w:eastAsia="zh-CN"/>
              </w:rPr>
              <w:t>注：恶意竞标或</w:t>
            </w:r>
            <w:r>
              <w:rPr>
                <w:rFonts w:hint="eastAsia" w:hAnsi="宋体"/>
                <w:b/>
                <w:bCs/>
                <w:sz w:val="24"/>
                <w:szCs w:val="24"/>
                <w:highlight w:val="none"/>
              </w:rPr>
              <w:t>无</w:t>
            </w:r>
            <w:r>
              <w:rPr>
                <w:rFonts w:hint="eastAsia" w:hAnsi="宋体"/>
                <w:b/>
                <w:sz w:val="24"/>
                <w:szCs w:val="24"/>
                <w:highlight w:val="none"/>
              </w:rPr>
              <w:t>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lang w:val="en-US" w:eastAsia="zh-CN"/>
              </w:rPr>
              <w:t>并纳入甲方黑名单，三年内不允许参与此类招标。</w:t>
            </w:r>
          </w:p>
        </w:tc>
      </w:tr>
      <w:tr w14:paraId="591B2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D195A58">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2</w:t>
            </w:r>
          </w:p>
        </w:tc>
        <w:tc>
          <w:tcPr>
            <w:tcW w:w="4619" w:type="pct"/>
            <w:tcBorders>
              <w:top w:val="single" w:color="auto" w:sz="2" w:space="0"/>
              <w:left w:val="single" w:color="auto" w:sz="2" w:space="0"/>
              <w:bottom w:val="single" w:color="auto" w:sz="2" w:space="0"/>
              <w:right w:val="single" w:color="auto" w:sz="2" w:space="0"/>
            </w:tcBorders>
            <w:vAlign w:val="center"/>
          </w:tcPr>
          <w:p w14:paraId="2264DF0D">
            <w:pPr>
              <w:spacing w:line="240" w:lineRule="auto"/>
              <w:ind w:firstLine="480" w:firstLineChars="200"/>
              <w:rPr>
                <w:rFonts w:hint="eastAsia" w:ascii="宋体" w:hAnsi="宋体" w:eastAsia="宋体"/>
                <w:sz w:val="24"/>
                <w:szCs w:val="24"/>
                <w:lang w:val="en-US" w:eastAsia="zh-CN"/>
              </w:rPr>
            </w:pPr>
            <w:r>
              <w:rPr>
                <w:rFonts w:hint="eastAsia" w:ascii="宋体" w:hAnsi="宋体" w:cs="宋体"/>
                <w:sz w:val="24"/>
                <w:highlight w:val="none"/>
              </w:rPr>
              <w:t>投标有效期：自开标之日起</w:t>
            </w:r>
            <w:r>
              <w:rPr>
                <w:rFonts w:hint="eastAsia" w:ascii="宋体" w:hAnsi="宋体" w:cs="宋体"/>
                <w:sz w:val="24"/>
                <w:highlight w:val="none"/>
                <w:u w:val="single"/>
              </w:rPr>
              <w:t>90</w:t>
            </w:r>
            <w:r>
              <w:rPr>
                <w:rFonts w:hint="eastAsia" w:ascii="宋体" w:hAnsi="宋体" w:cs="宋体"/>
                <w:sz w:val="24"/>
                <w:highlight w:val="none"/>
                <w:u w:val="none"/>
                <w:lang w:val="en-US" w:eastAsia="zh-CN"/>
              </w:rPr>
              <w:t>个</w:t>
            </w:r>
            <w:r>
              <w:rPr>
                <w:rFonts w:hint="eastAsia" w:ascii="宋体" w:hAnsi="宋体" w:cs="宋体"/>
                <w:sz w:val="24"/>
                <w:highlight w:val="none"/>
                <w:lang w:val="en-US" w:eastAsia="zh-CN"/>
              </w:rPr>
              <w:t>日历天</w:t>
            </w:r>
          </w:p>
        </w:tc>
      </w:tr>
      <w:tr w14:paraId="3D329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3A251123">
            <w:pPr>
              <w:spacing w:line="240" w:lineRule="auto"/>
              <w:jc w:val="center"/>
              <w:rPr>
                <w:rFonts w:ascii="宋体" w:hAnsi="宋体"/>
                <w:b/>
                <w:bCs/>
                <w:sz w:val="24"/>
                <w:szCs w:val="24"/>
              </w:rPr>
            </w:pPr>
            <w:r>
              <w:rPr>
                <w:rFonts w:hint="eastAsia" w:ascii="宋体" w:hAnsi="宋体" w:cs="宋体"/>
                <w:b/>
                <w:bCs/>
                <w:sz w:val="24"/>
              </w:rPr>
              <w:t>投标文件的递交</w:t>
            </w:r>
          </w:p>
        </w:tc>
      </w:tr>
      <w:tr w14:paraId="12D61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380" w:type="pct"/>
            <w:vMerge w:val="restart"/>
            <w:tcBorders>
              <w:top w:val="single" w:color="auto" w:sz="2" w:space="0"/>
              <w:left w:val="single" w:color="auto" w:sz="2" w:space="0"/>
              <w:bottom w:val="single" w:color="auto" w:sz="2" w:space="0"/>
              <w:right w:val="single" w:color="auto" w:sz="2" w:space="0"/>
            </w:tcBorders>
            <w:vAlign w:val="center"/>
          </w:tcPr>
          <w:p w14:paraId="599404D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3</w:t>
            </w:r>
          </w:p>
        </w:tc>
        <w:tc>
          <w:tcPr>
            <w:tcW w:w="4619" w:type="pct"/>
            <w:tcBorders>
              <w:top w:val="single" w:color="auto" w:sz="2" w:space="0"/>
              <w:left w:val="single" w:color="auto" w:sz="2" w:space="0"/>
              <w:bottom w:val="single" w:color="auto" w:sz="2" w:space="0"/>
              <w:right w:val="single" w:color="auto" w:sz="2" w:space="0"/>
            </w:tcBorders>
            <w:vAlign w:val="center"/>
          </w:tcPr>
          <w:p w14:paraId="7E4E1B1B">
            <w:pPr>
              <w:spacing w:line="240" w:lineRule="auto"/>
              <w:ind w:firstLine="480" w:firstLineChars="200"/>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green"/>
                <w:u w:val="single"/>
                <w:lang w:eastAsia="zh-CN"/>
              </w:rPr>
              <w:t>202</w:t>
            </w:r>
            <w:r>
              <w:rPr>
                <w:rFonts w:hint="eastAsia" w:ascii="宋体" w:hAnsi="宋体" w:cs="宋体"/>
                <w:sz w:val="24"/>
                <w:highlight w:val="green"/>
                <w:u w:val="single"/>
                <w:lang w:val="en-US" w:eastAsia="zh-CN"/>
              </w:rPr>
              <w:t>5</w:t>
            </w:r>
            <w:r>
              <w:rPr>
                <w:rFonts w:hint="eastAsia" w:ascii="宋体" w:hAnsi="宋体" w:cs="宋体"/>
                <w:sz w:val="24"/>
                <w:highlight w:val="green"/>
              </w:rPr>
              <w:t>年</w:t>
            </w:r>
            <w:r>
              <w:rPr>
                <w:rFonts w:hint="eastAsia" w:ascii="宋体" w:hAnsi="宋体" w:cs="宋体"/>
                <w:sz w:val="24"/>
                <w:highlight w:val="green"/>
                <w:u w:val="single"/>
                <w:lang w:val="en-US" w:eastAsia="zh-CN"/>
              </w:rPr>
              <w:t>10</w:t>
            </w:r>
            <w:r>
              <w:rPr>
                <w:rFonts w:hint="eastAsia" w:ascii="宋体" w:hAnsi="宋体" w:cs="宋体"/>
                <w:sz w:val="24"/>
                <w:highlight w:val="green"/>
                <w:u w:val="single"/>
                <w:lang w:eastAsia="zh-CN"/>
              </w:rPr>
              <w:t>月</w:t>
            </w:r>
            <w:r>
              <w:rPr>
                <w:rFonts w:hint="eastAsia" w:ascii="宋体" w:hAnsi="宋体" w:cs="宋体"/>
                <w:sz w:val="24"/>
                <w:highlight w:val="green"/>
                <w:u w:val="single"/>
                <w:lang w:val="en-US" w:eastAsia="zh-CN"/>
              </w:rPr>
              <w:t>9日17时</w:t>
            </w:r>
            <w:r>
              <w:rPr>
                <w:rFonts w:hint="eastAsia" w:ascii="宋体" w:hAnsi="宋体" w:cs="宋体"/>
                <w:sz w:val="24"/>
                <w:highlight w:val="none"/>
                <w:u w:val="single"/>
                <w:lang w:eastAsia="zh-CN"/>
              </w:rPr>
              <w:t>前</w:t>
            </w:r>
            <w:r>
              <w:rPr>
                <w:rFonts w:hint="eastAsia" w:ascii="宋体" w:hAnsi="宋体" w:cs="宋体"/>
                <w:sz w:val="24"/>
                <w:highlight w:val="none"/>
              </w:rPr>
              <w:t>（北京时间）。</w:t>
            </w:r>
          </w:p>
        </w:tc>
      </w:tr>
      <w:tr w14:paraId="445A3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380" w:type="pct"/>
            <w:vMerge w:val="continue"/>
            <w:tcBorders>
              <w:top w:val="single" w:color="auto" w:sz="2" w:space="0"/>
              <w:left w:val="single" w:color="auto" w:sz="2" w:space="0"/>
              <w:bottom w:val="single" w:color="auto" w:sz="2" w:space="0"/>
              <w:right w:val="single" w:color="auto" w:sz="2" w:space="0"/>
            </w:tcBorders>
            <w:vAlign w:val="center"/>
          </w:tcPr>
          <w:p w14:paraId="039BBA70">
            <w:pPr>
              <w:widowControl/>
              <w:spacing w:line="240" w:lineRule="auto"/>
              <w:jc w:val="center"/>
              <w:rPr>
                <w:rFonts w:ascii="宋体" w:hAnsi="宋体"/>
                <w:sz w:val="24"/>
                <w:szCs w:val="24"/>
              </w:rPr>
            </w:pPr>
          </w:p>
        </w:tc>
        <w:tc>
          <w:tcPr>
            <w:tcW w:w="4619" w:type="pct"/>
            <w:tcBorders>
              <w:top w:val="single" w:color="auto" w:sz="2" w:space="0"/>
              <w:left w:val="single" w:color="auto" w:sz="2" w:space="0"/>
              <w:bottom w:val="single" w:color="auto" w:sz="2" w:space="0"/>
              <w:right w:val="single" w:color="auto" w:sz="2" w:space="0"/>
            </w:tcBorders>
            <w:vAlign w:val="center"/>
          </w:tcPr>
          <w:p w14:paraId="14807523">
            <w:pPr>
              <w:spacing w:before="146" w:beforeLines="50" w:line="360" w:lineRule="auto"/>
              <w:ind w:firstLine="480" w:firstLineChars="200"/>
              <w:rPr>
                <w:rFonts w:hint="eastAsia" w:ascii="宋体" w:hAnsi="宋体" w:cs="宋体"/>
                <w:sz w:val="24"/>
                <w:highlight w:val="none"/>
              </w:rPr>
            </w:pPr>
            <w:r>
              <w:rPr>
                <w:rFonts w:hint="eastAsia" w:ascii="宋体" w:hAnsi="宋体" w:cs="宋体"/>
                <w:sz w:val="24"/>
                <w:highlight w:val="none"/>
              </w:rPr>
              <w:t>投标文件递交地点：</w:t>
            </w:r>
          </w:p>
          <w:p w14:paraId="4516CBBD">
            <w:pPr>
              <w:numPr>
                <w:ilvl w:val="0"/>
                <w:numId w:val="17"/>
              </w:numPr>
              <w:spacing w:line="360" w:lineRule="auto"/>
              <w:ind w:left="425" w:hanging="425" w:firstLineChars="0"/>
              <w:rPr>
                <w:rFonts w:ascii="宋体" w:hAnsi="宋体" w:cs="宋体"/>
                <w:sz w:val="24"/>
                <w:highlight w:val="none"/>
              </w:rPr>
            </w:pPr>
            <w:r>
              <w:rPr>
                <w:rFonts w:hint="eastAsia" w:ascii="宋体" w:hAnsi="宋体" w:cs="宋体"/>
                <w:sz w:val="24"/>
                <w:highlight w:val="none"/>
              </w:rPr>
              <w:t>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14:paraId="64B3F706">
            <w:pPr>
              <w:numPr>
                <w:ilvl w:val="0"/>
                <w:numId w:val="17"/>
              </w:numPr>
              <w:spacing w:line="360" w:lineRule="auto"/>
              <w:ind w:left="425" w:hanging="425" w:firstLineChars="0"/>
              <w:rPr>
                <w:rFonts w:ascii="宋体" w:hAnsi="宋体" w:cs="宋体"/>
                <w:sz w:val="24"/>
                <w:highlight w:val="none"/>
              </w:rPr>
            </w:pPr>
            <w:r>
              <w:rPr>
                <w:rFonts w:hint="eastAsia" w:ascii="宋体" w:hAnsi="宋体" w:cs="宋体"/>
                <w:sz w:val="24"/>
                <w:highlight w:val="none"/>
              </w:rPr>
              <w:t>线下地点：山东省济南市华奥路777号重汽科技大厦</w:t>
            </w:r>
            <w:r>
              <w:rPr>
                <w:rFonts w:hint="eastAsia" w:ascii="宋体" w:hAnsi="宋体" w:cs="宋体"/>
                <w:sz w:val="24"/>
                <w:highlight w:val="green"/>
                <w:u w:val="single"/>
                <w:lang w:val="en-US" w:eastAsia="zh-CN"/>
              </w:rPr>
              <w:t>302</w:t>
            </w:r>
            <w:r>
              <w:rPr>
                <w:rFonts w:hint="eastAsia" w:ascii="宋体" w:hAnsi="宋体" w:cs="宋体"/>
                <w:sz w:val="24"/>
                <w:highlight w:val="none"/>
              </w:rPr>
              <w:t>会议室。</w:t>
            </w:r>
          </w:p>
          <w:p w14:paraId="4CDC0C50">
            <w:pPr>
              <w:pStyle w:val="6"/>
              <w:spacing w:line="360" w:lineRule="auto"/>
              <w:ind w:firstLine="480"/>
              <w:rPr>
                <w:highlight w:val="none"/>
              </w:rPr>
            </w:pPr>
            <w:r>
              <w:rPr>
                <w:rFonts w:hint="eastAsia" w:ascii="宋体" w:hAnsi="宋体" w:cs="宋体"/>
                <w:kern w:val="2"/>
                <w:sz w:val="24"/>
                <w:highlight w:val="none"/>
              </w:rPr>
              <w:t xml:space="preserve"> 注：投标人须自备电脑和U盘。</w:t>
            </w:r>
          </w:p>
        </w:tc>
      </w:tr>
      <w:tr w14:paraId="70992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9C16876">
            <w:pPr>
              <w:spacing w:line="240" w:lineRule="auto"/>
              <w:jc w:val="center"/>
              <w:rPr>
                <w:rFonts w:ascii="宋体" w:hAnsi="宋体"/>
                <w:b/>
                <w:bCs/>
                <w:sz w:val="24"/>
                <w:szCs w:val="24"/>
              </w:rPr>
            </w:pPr>
            <w:r>
              <w:rPr>
                <w:rFonts w:hint="eastAsia" w:ascii="宋体" w:hAnsi="宋体" w:cs="宋体"/>
                <w:b/>
                <w:bCs/>
                <w:sz w:val="24"/>
              </w:rPr>
              <w:t>开标</w:t>
            </w:r>
          </w:p>
        </w:tc>
      </w:tr>
      <w:tr w14:paraId="0D165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00A0CE00">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4</w:t>
            </w:r>
          </w:p>
        </w:tc>
        <w:tc>
          <w:tcPr>
            <w:tcW w:w="4619" w:type="pct"/>
            <w:tcBorders>
              <w:top w:val="single" w:color="auto" w:sz="2" w:space="0"/>
              <w:left w:val="single" w:color="auto" w:sz="2" w:space="0"/>
              <w:bottom w:val="single" w:color="auto" w:sz="2" w:space="0"/>
              <w:right w:val="single" w:color="auto" w:sz="2" w:space="0"/>
            </w:tcBorders>
            <w:vAlign w:val="center"/>
          </w:tcPr>
          <w:p w14:paraId="12F5432E">
            <w:pPr>
              <w:spacing w:before="146" w:beforeLines="50" w:line="360" w:lineRule="auto"/>
              <w:ind w:firstLine="480" w:firstLineChars="200"/>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sz w:val="24"/>
                <w:highlight w:val="green"/>
                <w:lang w:eastAsia="zh-CN"/>
              </w:rPr>
              <w:t>202</w:t>
            </w:r>
            <w:r>
              <w:rPr>
                <w:rFonts w:hint="eastAsia" w:ascii="宋体" w:hAnsi="宋体" w:cs="宋体"/>
                <w:sz w:val="24"/>
                <w:highlight w:val="green"/>
                <w:lang w:val="en-US" w:eastAsia="zh-CN"/>
              </w:rPr>
              <w:t>5</w:t>
            </w:r>
            <w:r>
              <w:rPr>
                <w:rFonts w:hint="eastAsia" w:ascii="宋体" w:hAnsi="宋体" w:cs="宋体"/>
                <w:sz w:val="24"/>
                <w:highlight w:val="green"/>
              </w:rPr>
              <w:t>年</w:t>
            </w:r>
            <w:r>
              <w:rPr>
                <w:rFonts w:hint="eastAsia" w:ascii="宋体" w:hAnsi="宋体" w:cs="宋体"/>
                <w:sz w:val="24"/>
                <w:highlight w:val="green"/>
                <w:lang w:val="en-US" w:eastAsia="zh-CN"/>
              </w:rPr>
              <w:t>10</w:t>
            </w:r>
            <w:r>
              <w:rPr>
                <w:rFonts w:hint="eastAsia" w:ascii="宋体" w:hAnsi="宋体" w:cs="宋体"/>
                <w:sz w:val="24"/>
                <w:highlight w:val="green"/>
                <w:lang w:eastAsia="zh-CN"/>
              </w:rPr>
              <w:t>月</w:t>
            </w:r>
            <w:r>
              <w:rPr>
                <w:rFonts w:hint="eastAsia" w:ascii="宋体" w:hAnsi="宋体" w:cs="宋体"/>
                <w:sz w:val="24"/>
                <w:highlight w:val="green"/>
                <w:lang w:val="en-US" w:eastAsia="zh-CN"/>
              </w:rPr>
              <w:t>11</w:t>
            </w:r>
            <w:r>
              <w:rPr>
                <w:rFonts w:hint="eastAsia" w:ascii="宋体" w:hAnsi="宋体" w:cs="宋体"/>
                <w:sz w:val="24"/>
                <w:highlight w:val="green"/>
                <w:lang w:eastAsia="zh-CN"/>
              </w:rPr>
              <w:t>日</w:t>
            </w:r>
            <w:r>
              <w:rPr>
                <w:rFonts w:hint="eastAsia" w:ascii="宋体" w:hAnsi="宋体" w:cs="宋体"/>
                <w:sz w:val="24"/>
                <w:highlight w:val="green"/>
                <w:lang w:val="en-US" w:eastAsia="zh-CN"/>
              </w:rPr>
              <w:t>9</w:t>
            </w:r>
            <w:r>
              <w:rPr>
                <w:rFonts w:hint="eastAsia" w:ascii="宋体" w:hAnsi="宋体" w:cs="宋体"/>
                <w:sz w:val="24"/>
                <w:highlight w:val="green"/>
                <w:lang w:eastAsia="zh-CN"/>
              </w:rPr>
              <w:t>点</w:t>
            </w:r>
            <w:r>
              <w:rPr>
                <w:rFonts w:hint="eastAsia" w:ascii="宋体" w:hAnsi="宋体" w:cs="宋体"/>
                <w:sz w:val="24"/>
                <w:highlight w:val="green"/>
                <w:lang w:val="en-US" w:eastAsia="zh-CN"/>
              </w:rPr>
              <w:t>0</w:t>
            </w:r>
            <w:r>
              <w:rPr>
                <w:rFonts w:hint="eastAsia" w:ascii="宋体" w:hAnsi="宋体" w:cs="宋体"/>
                <w:sz w:val="24"/>
                <w:highlight w:val="green"/>
                <w:lang w:eastAsia="zh-CN"/>
              </w:rPr>
              <w:t>分（</w:t>
            </w:r>
            <w:r>
              <w:rPr>
                <w:rFonts w:hint="eastAsia" w:ascii="宋体" w:hAnsi="宋体" w:cs="宋体"/>
                <w:sz w:val="24"/>
                <w:highlight w:val="green"/>
              </w:rPr>
              <w:t>北京时间）</w:t>
            </w:r>
          </w:p>
          <w:p w14:paraId="2379089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开标地点：山东省济南市华奥路777号重</w:t>
            </w:r>
            <w:bookmarkStart w:id="212" w:name="_GoBack"/>
            <w:bookmarkEnd w:id="212"/>
            <w:r>
              <w:rPr>
                <w:rFonts w:hint="eastAsia" w:ascii="宋体" w:hAnsi="宋体" w:cs="宋体"/>
                <w:sz w:val="24"/>
                <w:highlight w:val="none"/>
              </w:rPr>
              <w:t>汽科技大厦</w:t>
            </w:r>
            <w:r>
              <w:rPr>
                <w:rFonts w:hint="eastAsia" w:ascii="宋体" w:hAnsi="宋体" w:cs="宋体"/>
                <w:sz w:val="24"/>
                <w:highlight w:val="green"/>
                <w:u w:val="single"/>
                <w:lang w:val="en-US" w:eastAsia="zh-CN"/>
              </w:rPr>
              <w:t>302</w:t>
            </w:r>
            <w:r>
              <w:rPr>
                <w:rFonts w:hint="eastAsia" w:ascii="宋体" w:hAnsi="宋体" w:cs="宋体"/>
                <w:sz w:val="24"/>
                <w:highlight w:val="none"/>
              </w:rPr>
              <w:t>会议室。</w:t>
            </w:r>
          </w:p>
          <w:p w14:paraId="214844FD">
            <w:pPr>
              <w:spacing w:line="360" w:lineRule="auto"/>
              <w:ind w:firstLine="480" w:firstLineChars="200"/>
              <w:rPr>
                <w:highlight w:val="none"/>
              </w:rPr>
            </w:pPr>
            <w:r>
              <w:rPr>
                <w:rFonts w:hint="eastAsia" w:ascii="宋体" w:hAnsi="宋体" w:cs="宋体"/>
                <w:kern w:val="2"/>
                <w:sz w:val="24"/>
                <w:highlight w:val="none"/>
              </w:rPr>
              <w:t>开标方式：中国重汽e采通线上开标+线下商谈</w:t>
            </w:r>
          </w:p>
        </w:tc>
      </w:tr>
      <w:tr w14:paraId="338C8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27A402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5</w:t>
            </w:r>
          </w:p>
        </w:tc>
        <w:tc>
          <w:tcPr>
            <w:tcW w:w="4619" w:type="pct"/>
            <w:tcBorders>
              <w:top w:val="single" w:color="auto" w:sz="2" w:space="0"/>
              <w:left w:val="single" w:color="auto" w:sz="2" w:space="0"/>
              <w:bottom w:val="single" w:color="auto" w:sz="2" w:space="0"/>
              <w:right w:val="single" w:color="auto" w:sz="2" w:space="0"/>
            </w:tcBorders>
            <w:vAlign w:val="center"/>
          </w:tcPr>
          <w:p w14:paraId="79735EA1">
            <w:pPr>
              <w:spacing w:before="146" w:beforeLines="50" w:line="360" w:lineRule="auto"/>
              <w:ind w:firstLine="480" w:firstLineChars="200"/>
              <w:rPr>
                <w:rFonts w:ascii="宋体" w:hAnsi="宋体" w:cs="宋体"/>
                <w:b w:val="0"/>
                <w:bCs/>
                <w:sz w:val="24"/>
              </w:rPr>
            </w:pPr>
            <w:r>
              <w:rPr>
                <w:rFonts w:hint="eastAsia" w:ascii="宋体" w:hAnsi="宋体" w:cs="宋体"/>
                <w:b w:val="0"/>
                <w:bCs/>
                <w:sz w:val="24"/>
              </w:rPr>
              <w:t>开标时将核验投标人的以下资格证件：</w:t>
            </w:r>
          </w:p>
          <w:p w14:paraId="7C172137">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营业执照副本原件、复印件（加盖公章），《道路运输经营许可证》原件及复印件(加盖公章)；</w:t>
            </w:r>
          </w:p>
          <w:p w14:paraId="41C0AEB5">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法定代表人身份证或法定代表人授权委托书原件（加盖公章）；</w:t>
            </w:r>
          </w:p>
          <w:p w14:paraId="52D6575F">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法人或授权代表身份证（复印件+原件）；</w:t>
            </w:r>
          </w:p>
          <w:p w14:paraId="754DBC27">
            <w:pPr>
              <w:numPr>
                <w:ilvl w:val="0"/>
                <w:numId w:val="18"/>
              </w:numPr>
              <w:tabs>
                <w:tab w:val="left" w:pos="6313"/>
              </w:tabs>
              <w:spacing w:line="360" w:lineRule="auto"/>
              <w:ind w:left="425" w:hanging="425" w:firstLineChars="0"/>
              <w:rPr>
                <w:rFonts w:hint="eastAsia" w:ascii="宋体" w:hAnsi="宋体"/>
                <w:b w:val="0"/>
                <w:bCs/>
                <w:sz w:val="24"/>
              </w:rPr>
            </w:pPr>
            <w:r>
              <w:rPr>
                <w:rFonts w:hint="eastAsia" w:ascii="宋体" w:hAnsi="宋体"/>
                <w:b w:val="0"/>
                <w:bCs/>
                <w:sz w:val="24"/>
              </w:rPr>
              <w:t>信用中国截图（加盖公章）；</w:t>
            </w:r>
          </w:p>
          <w:p w14:paraId="7BEF6043">
            <w:pPr>
              <w:numPr>
                <w:ilvl w:val="0"/>
                <w:numId w:val="18"/>
              </w:numPr>
              <w:tabs>
                <w:tab w:val="left" w:pos="0"/>
              </w:tabs>
              <w:spacing w:line="360" w:lineRule="auto"/>
              <w:ind w:left="425" w:leftChars="0" w:hanging="425"/>
              <w:rPr>
                <w:rFonts w:hint="eastAsia" w:ascii="宋体" w:hAnsi="宋体"/>
                <w:b w:val="0"/>
                <w:bCs/>
                <w:sz w:val="24"/>
                <w:lang w:eastAsia="zh-CN"/>
              </w:rPr>
            </w:pPr>
            <w:r>
              <w:rPr>
                <w:rFonts w:hint="eastAsia" w:ascii="宋体" w:hAnsi="宋体"/>
                <w:b w:val="0"/>
                <w:bCs/>
                <w:sz w:val="24"/>
              </w:rPr>
              <w:t>投标人应提供企业最近半年完税证明、信用证明材料（征信报告）</w:t>
            </w:r>
            <w:r>
              <w:rPr>
                <w:rFonts w:hint="eastAsia" w:ascii="宋体" w:hAnsi="宋体"/>
                <w:b w:val="0"/>
                <w:bCs/>
                <w:sz w:val="24"/>
                <w:lang w:eastAsia="zh-CN"/>
              </w:rPr>
              <w:t>；</w:t>
            </w:r>
          </w:p>
          <w:p w14:paraId="3FDEE09D">
            <w:pPr>
              <w:numPr>
                <w:ilvl w:val="0"/>
                <w:numId w:val="18"/>
              </w:numPr>
              <w:tabs>
                <w:tab w:val="left" w:pos="0"/>
              </w:tabs>
              <w:spacing w:line="360" w:lineRule="auto"/>
              <w:ind w:left="425" w:leftChars="0" w:hanging="425"/>
              <w:rPr>
                <w:rFonts w:ascii="宋体" w:hAnsi="宋体"/>
                <w:b w:val="0"/>
                <w:bCs/>
                <w:sz w:val="24"/>
              </w:rPr>
            </w:pPr>
            <w:r>
              <w:rPr>
                <w:rFonts w:hint="eastAsia" w:ascii="宋体" w:hAnsi="宋体"/>
                <w:b w:val="0"/>
                <w:bCs/>
                <w:sz w:val="24"/>
              </w:rPr>
              <w:t>投标人认为对其投标有利的其他资料。</w:t>
            </w:r>
          </w:p>
          <w:p w14:paraId="55EC1EB0">
            <w:pPr>
              <w:spacing w:line="360" w:lineRule="auto"/>
              <w:ind w:firstLine="525" w:firstLineChars="218"/>
              <w:rPr>
                <w:rFonts w:ascii="宋体" w:hAnsi="宋体" w:cs="宋体"/>
                <w:b/>
                <w:bCs/>
                <w:sz w:val="24"/>
                <w:szCs w:val="24"/>
              </w:rPr>
            </w:pPr>
            <w:r>
              <w:rPr>
                <w:rFonts w:hint="eastAsia" w:ascii="宋体" w:hAnsi="宋体" w:cs="宋体"/>
                <w:b/>
                <w:bCs/>
                <w:sz w:val="24"/>
              </w:rPr>
              <w:t>注：</w:t>
            </w:r>
            <w:r>
              <w:rPr>
                <w:rFonts w:hint="eastAsia" w:ascii="宋体" w:hAnsi="宋体" w:cs="宋体"/>
                <w:b/>
                <w:bCs/>
                <w:sz w:val="24"/>
                <w:lang w:eastAsia="zh-CN"/>
              </w:rPr>
              <w:t>投标人</w:t>
            </w:r>
            <w:r>
              <w:rPr>
                <w:rFonts w:hint="eastAsia" w:ascii="宋体" w:hAnsi="宋体" w:cs="宋体"/>
                <w:b/>
                <w:bCs/>
                <w:sz w:val="24"/>
              </w:rPr>
              <w:t>资质文件不全的，招标人有权视情况要求补齐或者退出。</w:t>
            </w:r>
          </w:p>
        </w:tc>
      </w:tr>
      <w:tr w14:paraId="39039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27CAD807">
            <w:pPr>
              <w:spacing w:line="240" w:lineRule="auto"/>
              <w:jc w:val="center"/>
              <w:rPr>
                <w:rFonts w:ascii="宋体" w:hAnsi="宋体"/>
                <w:sz w:val="24"/>
                <w:szCs w:val="24"/>
              </w:rPr>
            </w:pPr>
            <w:r>
              <w:rPr>
                <w:rFonts w:hint="eastAsia" w:ascii="宋体" w:hAnsi="宋体" w:cs="宋体"/>
                <w:b/>
                <w:bCs/>
                <w:sz w:val="24"/>
              </w:rPr>
              <w:t>评标</w:t>
            </w:r>
          </w:p>
        </w:tc>
      </w:tr>
      <w:tr w14:paraId="31BA7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39225764">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6</w:t>
            </w:r>
          </w:p>
        </w:tc>
        <w:tc>
          <w:tcPr>
            <w:tcW w:w="4619" w:type="pct"/>
            <w:tcBorders>
              <w:top w:val="single" w:color="auto" w:sz="2" w:space="0"/>
              <w:left w:val="single" w:color="auto" w:sz="2" w:space="0"/>
              <w:bottom w:val="single" w:color="auto" w:sz="2" w:space="0"/>
              <w:right w:val="single" w:color="auto" w:sz="2" w:space="0"/>
            </w:tcBorders>
            <w:vAlign w:val="center"/>
          </w:tcPr>
          <w:p w14:paraId="2845CAA6">
            <w:pPr>
              <w:snapToGrid w:val="0"/>
              <w:spacing w:before="146" w:beforeLines="50" w:line="360" w:lineRule="auto"/>
              <w:ind w:firstLine="480" w:firstLineChars="200"/>
              <w:rPr>
                <w:rFonts w:ascii="宋体" w:hAnsi="宋体" w:cs="宋体"/>
                <w:sz w:val="24"/>
                <w:szCs w:val="24"/>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14:paraId="6B5BC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2278D96">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7</w:t>
            </w:r>
          </w:p>
        </w:tc>
        <w:tc>
          <w:tcPr>
            <w:tcW w:w="4619" w:type="pct"/>
            <w:tcBorders>
              <w:top w:val="single" w:color="auto" w:sz="2" w:space="0"/>
              <w:left w:val="single" w:color="auto" w:sz="2" w:space="0"/>
              <w:bottom w:val="single" w:color="auto" w:sz="2" w:space="0"/>
              <w:right w:val="single" w:color="auto" w:sz="2" w:space="0"/>
            </w:tcBorders>
            <w:vAlign w:val="center"/>
          </w:tcPr>
          <w:p w14:paraId="4F527ED1">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w:t>
            </w:r>
          </w:p>
          <w:p w14:paraId="698BC908">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rPr>
              <w:t>首先进行资质审查，技术评标专家组对所有符合资质的投标</w:t>
            </w:r>
            <w:r>
              <w:rPr>
                <w:rFonts w:hint="eastAsia" w:ascii="宋体" w:hAnsi="宋体" w:cs="宋体"/>
                <w:kern w:val="2"/>
                <w:sz w:val="24"/>
                <w:lang w:val="en-US" w:eastAsia="zh-CN"/>
              </w:rPr>
              <w:t>人</w:t>
            </w:r>
            <w:r>
              <w:rPr>
                <w:rFonts w:hint="eastAsia" w:ascii="宋体" w:hAnsi="宋体" w:cs="宋体"/>
                <w:kern w:val="2"/>
                <w:sz w:val="24"/>
              </w:rPr>
              <w:t>的技术标部分综合评定和打分，技术标满分100分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根据评标现场情况由评标专家组确定入围名单；</w:t>
            </w:r>
          </w:p>
          <w:p w14:paraId="73860022">
            <w:pPr>
              <w:pStyle w:val="7"/>
              <w:numPr>
                <w:ilvl w:val="0"/>
                <w:numId w:val="19"/>
              </w:numPr>
              <w:spacing w:before="146" w:beforeLines="50" w:after="0" w:line="360" w:lineRule="auto"/>
              <w:ind w:left="425" w:hanging="425" w:firstLineChars="0"/>
              <w:rPr>
                <w:rFonts w:hint="eastAsia" w:ascii="宋体" w:hAnsi="宋体" w:eastAsia="宋体" w:cs="宋体"/>
                <w:kern w:val="2"/>
                <w:sz w:val="24"/>
                <w:lang w:val="en-US" w:eastAsia="zh-CN"/>
              </w:rPr>
            </w:pPr>
            <w:r>
              <w:rPr>
                <w:rFonts w:hint="eastAsia" w:ascii="宋体" w:hAnsi="宋体" w:cs="宋体"/>
                <w:color w:val="auto"/>
                <w:kern w:val="2"/>
                <w:sz w:val="24"/>
                <w:highlight w:val="none"/>
                <w:lang w:val="en-US" w:eastAsia="zh-CN"/>
              </w:rPr>
              <w:t>在商务竞价环节，</w:t>
            </w:r>
            <w:r>
              <w:rPr>
                <w:rFonts w:hint="eastAsia" w:ascii="宋体" w:hAnsi="宋体" w:cs="宋体"/>
                <w:color w:val="auto"/>
                <w:kern w:val="2"/>
                <w:sz w:val="24"/>
                <w:highlight w:val="none"/>
              </w:rPr>
              <w:t>招标人有权根据项目情况，采取多轮</w:t>
            </w:r>
            <w:r>
              <w:rPr>
                <w:rFonts w:hint="eastAsia" w:ascii="宋体" w:hAnsi="宋体" w:cs="宋体"/>
                <w:color w:val="auto"/>
                <w:kern w:val="2"/>
                <w:sz w:val="24"/>
                <w:highlight w:val="none"/>
                <w:lang w:val="en-US" w:eastAsia="zh-CN"/>
              </w:rPr>
              <w:t>竞价</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评审专家组根据投标人的报价进行排名，确定入围数量；</w:t>
            </w:r>
          </w:p>
          <w:p w14:paraId="34C8A569">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lang w:val="en-US" w:eastAsia="zh-CN"/>
              </w:rPr>
              <w:t>按照“最终得分=技术标（20%）+商务标（80%）”的规则，评审专家组拟定</w:t>
            </w:r>
            <w:r>
              <w:rPr>
                <w:rFonts w:hint="eastAsia" w:ascii="宋体" w:hAnsi="宋体" w:cs="宋体"/>
                <w:kern w:val="2"/>
                <w:sz w:val="24"/>
                <w:highlight w:val="none"/>
                <w:lang w:val="en-US" w:eastAsia="zh-CN"/>
              </w:rPr>
              <w:t>推荐中标人</w:t>
            </w:r>
            <w:r>
              <w:rPr>
                <w:rFonts w:hint="eastAsia" w:ascii="宋体" w:hAnsi="宋体" w:cs="宋体"/>
                <w:kern w:val="2"/>
                <w:sz w:val="24"/>
              </w:rPr>
              <w:t>。</w:t>
            </w:r>
          </w:p>
        </w:tc>
      </w:tr>
    </w:tbl>
    <w:p w14:paraId="6204B692">
      <w:pPr>
        <w:pStyle w:val="5"/>
        <w:tabs>
          <w:tab w:val="left" w:pos="1146"/>
        </w:tabs>
        <w:spacing w:line="360" w:lineRule="auto"/>
        <w:ind w:left="0" w:leftChars="0" w:firstLine="0" w:firstLineChars="0"/>
        <w:rPr>
          <w:rFonts w:ascii="宋体" w:hAnsi="宋体" w:cs="宋体"/>
          <w:b/>
          <w:bCs/>
          <w:sz w:val="32"/>
          <w:szCs w:val="32"/>
        </w:rPr>
      </w:pPr>
    </w:p>
    <w:bookmarkEnd w:id="89"/>
    <w:p w14:paraId="4D3AFC23">
      <w:pPr>
        <w:pStyle w:val="19"/>
        <w:numPr>
          <w:ilvl w:val="0"/>
          <w:numId w:val="1"/>
        </w:numPr>
        <w:tabs>
          <w:tab w:val="right" w:leader="dot" w:pos="9061"/>
        </w:tabs>
        <w:spacing w:line="360" w:lineRule="auto"/>
        <w:ind w:firstLineChars="0"/>
        <w:jc w:val="center"/>
        <w:outlineLvl w:val="0"/>
        <w:rPr>
          <w:b/>
          <w:iCs/>
          <w:vanish/>
          <w:sz w:val="40"/>
          <w:szCs w:val="21"/>
        </w:rPr>
      </w:pPr>
      <w:bookmarkStart w:id="90" w:name="_Toc142573484"/>
      <w:bookmarkEnd w:id="90"/>
      <w:bookmarkStart w:id="91" w:name="_Toc142572942"/>
      <w:bookmarkEnd w:id="91"/>
      <w:bookmarkStart w:id="92" w:name="_Toc129693890"/>
      <w:bookmarkEnd w:id="92"/>
      <w:bookmarkStart w:id="93" w:name="_Toc142573648"/>
      <w:bookmarkEnd w:id="93"/>
      <w:bookmarkStart w:id="94" w:name="_Toc142573115"/>
      <w:bookmarkEnd w:id="94"/>
      <w:bookmarkStart w:id="95" w:name="_Toc129697446"/>
      <w:bookmarkEnd w:id="95"/>
      <w:bookmarkStart w:id="96" w:name="_Toc142573023"/>
      <w:bookmarkEnd w:id="96"/>
      <w:bookmarkStart w:id="97" w:name="_Toc142572977"/>
      <w:bookmarkEnd w:id="97"/>
    </w:p>
    <w:p w14:paraId="1E198490">
      <w:pPr>
        <w:pStyle w:val="19"/>
        <w:keepNext/>
        <w:keepLines/>
        <w:numPr>
          <w:ilvl w:val="1"/>
          <w:numId w:val="1"/>
        </w:numPr>
        <w:spacing w:line="360" w:lineRule="auto"/>
        <w:ind w:left="0" w:firstLine="562"/>
        <w:jc w:val="left"/>
        <w:outlineLvl w:val="1"/>
        <w:rPr>
          <w:b/>
          <w:vanish/>
          <w:kern w:val="0"/>
          <w:sz w:val="28"/>
          <w:szCs w:val="36"/>
        </w:rPr>
      </w:pPr>
      <w:bookmarkStart w:id="98" w:name="_Toc129693375"/>
      <w:bookmarkEnd w:id="98"/>
      <w:bookmarkStart w:id="99" w:name="_Toc142572943"/>
      <w:bookmarkEnd w:id="99"/>
      <w:bookmarkStart w:id="100" w:name="_Toc142573649"/>
      <w:bookmarkEnd w:id="100"/>
      <w:bookmarkStart w:id="101" w:name="_Toc129695607"/>
      <w:bookmarkEnd w:id="101"/>
      <w:bookmarkStart w:id="102" w:name="_Toc129692790"/>
      <w:bookmarkEnd w:id="102"/>
      <w:bookmarkStart w:id="103" w:name="_Toc129692727"/>
      <w:bookmarkEnd w:id="103"/>
      <w:bookmarkStart w:id="104" w:name="_Toc142573116"/>
      <w:bookmarkEnd w:id="104"/>
      <w:bookmarkStart w:id="105" w:name="_Toc129697447"/>
      <w:bookmarkEnd w:id="105"/>
      <w:bookmarkStart w:id="106" w:name="_Toc142573485"/>
      <w:bookmarkEnd w:id="106"/>
      <w:bookmarkStart w:id="107" w:name="_Toc129693891"/>
      <w:bookmarkEnd w:id="107"/>
      <w:bookmarkStart w:id="108" w:name="_Toc129692644"/>
      <w:bookmarkEnd w:id="108"/>
      <w:bookmarkStart w:id="109" w:name="_Toc142573024"/>
      <w:bookmarkEnd w:id="109"/>
      <w:bookmarkStart w:id="110" w:name="_Toc142572978"/>
      <w:bookmarkEnd w:id="110"/>
    </w:p>
    <w:p w14:paraId="5998FF06">
      <w:pPr>
        <w:pStyle w:val="3"/>
        <w:numPr>
          <w:ilvl w:val="1"/>
          <w:numId w:val="0"/>
        </w:numPr>
        <w:spacing w:before="0" w:beforeLines="0" w:line="360" w:lineRule="auto"/>
        <w:ind w:firstLine="562" w:firstLineChars="200"/>
        <w:rPr>
          <w:sz w:val="28"/>
          <w:szCs w:val="28"/>
        </w:rPr>
      </w:pPr>
      <w:bookmarkStart w:id="111" w:name="_Toc14174"/>
      <w:bookmarkStart w:id="112" w:name="_Toc31420"/>
      <w:bookmarkStart w:id="113" w:name="_Toc10842"/>
      <w:bookmarkStart w:id="114" w:name="_Toc13043"/>
      <w:r>
        <w:rPr>
          <w:rFonts w:hint="eastAsia"/>
          <w:sz w:val="28"/>
          <w:szCs w:val="28"/>
          <w:lang w:val="en-US" w:eastAsia="zh-CN"/>
        </w:rPr>
        <w:t>2.2</w:t>
      </w:r>
      <w:r>
        <w:rPr>
          <w:rFonts w:hint="eastAsia"/>
          <w:sz w:val="28"/>
          <w:szCs w:val="28"/>
        </w:rPr>
        <w:t>投标文件编写</w:t>
      </w:r>
      <w:bookmarkEnd w:id="111"/>
      <w:bookmarkEnd w:id="112"/>
      <w:bookmarkEnd w:id="113"/>
      <w:bookmarkEnd w:id="114"/>
    </w:p>
    <w:p w14:paraId="601C6ED6">
      <w:pPr>
        <w:pStyle w:val="4"/>
        <w:numPr>
          <w:ilvl w:val="0"/>
          <w:numId w:val="20"/>
        </w:numPr>
        <w:ind w:left="425" w:leftChars="0" w:hanging="425" w:firstLineChars="0"/>
      </w:pPr>
      <w:bookmarkStart w:id="115" w:name="_Toc212369512"/>
      <w:bookmarkStart w:id="116" w:name="_Toc92678113"/>
      <w:r>
        <w:rPr>
          <w:rFonts w:hint="eastAsia"/>
        </w:rPr>
        <w:t>投标报价语言及计量单位</w:t>
      </w:r>
      <w:bookmarkEnd w:id="115"/>
      <w:bookmarkEnd w:id="116"/>
    </w:p>
    <w:p w14:paraId="71475735">
      <w:pPr>
        <w:tabs>
          <w:tab w:val="left" w:pos="6313"/>
        </w:tabs>
        <w:spacing w:line="360" w:lineRule="auto"/>
        <w:ind w:firstLine="480" w:firstLineChars="200"/>
        <w:rPr>
          <w:rFonts w:ascii="宋体" w:hAnsi="宋体"/>
          <w:sz w:val="24"/>
        </w:rPr>
      </w:pPr>
      <w:r>
        <w:rPr>
          <w:rFonts w:ascii="宋体" w:hAnsi="宋体"/>
          <w:sz w:val="24"/>
        </w:rPr>
        <w:t>投标文件和与投标有关的所有文件均应使用</w:t>
      </w:r>
      <w:r>
        <w:rPr>
          <w:rFonts w:hint="eastAsia" w:ascii="宋体" w:hAnsi="宋体"/>
          <w:sz w:val="24"/>
        </w:rPr>
        <w:t>中文。</w:t>
      </w:r>
    </w:p>
    <w:p w14:paraId="4A110459">
      <w:pPr>
        <w:tabs>
          <w:tab w:val="left" w:pos="6313"/>
        </w:tabs>
        <w:spacing w:line="360" w:lineRule="auto"/>
        <w:ind w:firstLine="480" w:firstLineChars="200"/>
        <w:rPr>
          <w:rFonts w:ascii="宋体" w:hAnsi="宋体"/>
          <w:sz w:val="24"/>
        </w:rPr>
      </w:pPr>
      <w:r>
        <w:rPr>
          <w:rFonts w:hint="eastAsia" w:ascii="宋体" w:hAnsi="宋体"/>
          <w:sz w:val="24"/>
        </w:rPr>
        <w:t>除投标文件的技术规格中另有规定外，投标文件中所使用的计量单位应为中华人民共和国法定计量单位。</w:t>
      </w:r>
    </w:p>
    <w:p w14:paraId="6AB0C70B">
      <w:pPr>
        <w:pStyle w:val="4"/>
        <w:numPr>
          <w:ilvl w:val="0"/>
          <w:numId w:val="20"/>
        </w:numPr>
        <w:ind w:left="425" w:hanging="425" w:firstLineChars="0"/>
      </w:pPr>
      <w:bookmarkStart w:id="117" w:name="_Toc212369513"/>
      <w:bookmarkStart w:id="118" w:name="_Toc92678114"/>
      <w:r>
        <w:rPr>
          <w:rFonts w:hint="eastAsia"/>
        </w:rPr>
        <w:t>投标文件组成</w:t>
      </w:r>
      <w:bookmarkEnd w:id="117"/>
      <w:bookmarkEnd w:id="118"/>
    </w:p>
    <w:p w14:paraId="1EBDEAD2">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投标人的投标文件由资格证明文件、商务标、开标一览表构成，如因投标文件混装、密封等问题造成的废标等后果均由</w:t>
      </w:r>
      <w:r>
        <w:rPr>
          <w:rFonts w:hint="eastAsia" w:ascii="宋体" w:hAnsi="宋体" w:cs="宋体"/>
          <w:b/>
          <w:bCs/>
          <w:sz w:val="24"/>
          <w:lang w:eastAsia="zh-CN"/>
        </w:rPr>
        <w:t>投标人</w:t>
      </w:r>
      <w:r>
        <w:rPr>
          <w:rFonts w:hint="eastAsia" w:ascii="宋体" w:hAnsi="宋体" w:cs="宋体"/>
          <w:b/>
          <w:bCs/>
          <w:sz w:val="24"/>
        </w:rPr>
        <w:t>承担</w:t>
      </w:r>
      <w:r>
        <w:rPr>
          <w:rFonts w:hint="eastAsia" w:ascii="宋体" w:hAnsi="宋体" w:cs="宋体"/>
          <w:b/>
          <w:bCs/>
          <w:sz w:val="24"/>
          <w:lang w:eastAsia="zh-CN"/>
        </w:rPr>
        <w:t>。</w:t>
      </w:r>
    </w:p>
    <w:p w14:paraId="53B102BA">
      <w:pPr>
        <w:pStyle w:val="4"/>
        <w:numPr>
          <w:ilvl w:val="0"/>
          <w:numId w:val="20"/>
        </w:numPr>
        <w:ind w:left="425" w:hanging="425" w:firstLineChars="0"/>
      </w:pPr>
      <w:bookmarkStart w:id="119" w:name="_Toc212369515"/>
      <w:r>
        <w:rPr>
          <w:rFonts w:hint="eastAsia"/>
        </w:rPr>
        <w:t>技术部分：</w:t>
      </w:r>
      <w:bookmarkEnd w:id="119"/>
      <w:r>
        <w:rPr>
          <w:rFonts w:hint="eastAsia"/>
        </w:rPr>
        <w:t>（顺序与评分办法一致）</w:t>
      </w:r>
    </w:p>
    <w:p w14:paraId="3808AFFC">
      <w:pPr>
        <w:spacing w:line="360" w:lineRule="auto"/>
        <w:ind w:firstLine="480" w:firstLineChars="200"/>
        <w:rPr>
          <w:rFonts w:hint="eastAsia" w:ascii="宋体" w:hAnsi="宋体" w:cs="宋体"/>
          <w:b/>
          <w:bCs/>
          <w:sz w:val="24"/>
          <w:lang w:eastAsia="zh-CN"/>
        </w:rPr>
      </w:pPr>
      <w:r>
        <w:rPr>
          <w:rFonts w:hint="eastAsia" w:ascii="宋体" w:hAnsi="宋体"/>
          <w:sz w:val="24"/>
        </w:rPr>
        <w:t>为提高评标效率，请投标人按照技术部分所列的资料清单内容及顺序编制技术部分投标文件，如投标人未按照以下内容及顺序编制招标文件技术部分，可能会影响技术部分得分，请各</w:t>
      </w:r>
      <w:r>
        <w:rPr>
          <w:rFonts w:hint="eastAsia" w:ascii="宋体" w:hAnsi="宋体"/>
          <w:sz w:val="24"/>
          <w:lang w:eastAsia="zh-CN"/>
        </w:rPr>
        <w:t>投标人</w:t>
      </w:r>
      <w:r>
        <w:rPr>
          <w:rFonts w:hint="eastAsia" w:ascii="宋体" w:hAnsi="宋体"/>
          <w:sz w:val="24"/>
        </w:rPr>
        <w:t>务必注意。</w:t>
      </w:r>
    </w:p>
    <w:p w14:paraId="53423B23">
      <w:pPr>
        <w:pStyle w:val="4"/>
        <w:numPr>
          <w:ilvl w:val="0"/>
          <w:numId w:val="20"/>
        </w:numPr>
        <w:ind w:left="425" w:hanging="425" w:firstLineChars="0"/>
      </w:pPr>
      <w:bookmarkStart w:id="120" w:name="_Toc212369514"/>
      <w:r>
        <w:rPr>
          <w:rFonts w:hint="eastAsia"/>
        </w:rPr>
        <w:t>商务部分：</w:t>
      </w:r>
      <w:bookmarkEnd w:id="120"/>
    </w:p>
    <w:p w14:paraId="31D51737">
      <w:pPr>
        <w:numPr>
          <w:ilvl w:val="0"/>
          <w:numId w:val="21"/>
        </w:numPr>
        <w:spacing w:line="360" w:lineRule="auto"/>
        <w:ind w:firstLine="578" w:firstLineChars="241"/>
        <w:rPr>
          <w:rFonts w:ascii="宋体" w:hAnsi="宋体"/>
          <w:sz w:val="24"/>
        </w:rPr>
      </w:pPr>
      <w:r>
        <w:rPr>
          <w:rFonts w:hint="eastAsia" w:ascii="宋体" w:hAnsi="宋体"/>
          <w:sz w:val="24"/>
        </w:rPr>
        <w:t>开标一览表</w:t>
      </w:r>
      <w:r>
        <w:rPr>
          <w:rFonts w:hint="eastAsia" w:ascii="宋体" w:hAnsi="宋体"/>
          <w:sz w:val="24"/>
          <w:lang w:eastAsia="zh-CN"/>
        </w:rPr>
        <w:t>（</w:t>
      </w:r>
      <w:r>
        <w:rPr>
          <w:rFonts w:hint="eastAsia" w:ascii="宋体" w:hAnsi="宋体"/>
          <w:sz w:val="24"/>
          <w:lang w:val="en-US" w:eastAsia="zh-CN"/>
        </w:rPr>
        <w:t>见附件2</w:t>
      </w:r>
      <w:r>
        <w:rPr>
          <w:rFonts w:hint="eastAsia" w:ascii="宋体" w:hAnsi="宋体"/>
          <w:sz w:val="24"/>
          <w:lang w:eastAsia="zh-CN"/>
        </w:rPr>
        <w:t>）</w:t>
      </w:r>
      <w:r>
        <w:rPr>
          <w:rFonts w:hint="eastAsia" w:ascii="宋体" w:hAnsi="宋体"/>
          <w:sz w:val="24"/>
        </w:rPr>
        <w:t>；</w:t>
      </w:r>
    </w:p>
    <w:p w14:paraId="21240FCE">
      <w:pPr>
        <w:numPr>
          <w:ilvl w:val="0"/>
          <w:numId w:val="21"/>
        </w:numPr>
        <w:spacing w:line="360" w:lineRule="auto"/>
        <w:ind w:firstLine="578" w:firstLineChars="241"/>
        <w:rPr>
          <w:rFonts w:ascii="宋体" w:hAnsi="宋体"/>
          <w:sz w:val="24"/>
        </w:rPr>
      </w:pPr>
      <w:r>
        <w:rPr>
          <w:rFonts w:hint="eastAsia" w:ascii="宋体" w:hAnsi="宋体"/>
          <w:sz w:val="24"/>
        </w:rPr>
        <w:t>投标函</w:t>
      </w:r>
      <w:r>
        <w:rPr>
          <w:rFonts w:hint="eastAsia" w:ascii="宋体" w:hAnsi="宋体"/>
          <w:sz w:val="24"/>
          <w:lang w:eastAsia="zh-CN"/>
        </w:rPr>
        <w:t>（</w:t>
      </w:r>
      <w:r>
        <w:rPr>
          <w:rFonts w:hint="eastAsia" w:ascii="宋体" w:hAnsi="宋体"/>
          <w:sz w:val="24"/>
          <w:lang w:val="en-US" w:eastAsia="zh-CN"/>
        </w:rPr>
        <w:t>见附件3</w:t>
      </w:r>
      <w:r>
        <w:rPr>
          <w:rFonts w:hint="eastAsia" w:ascii="宋体" w:hAnsi="宋体"/>
          <w:sz w:val="24"/>
          <w:lang w:eastAsia="zh-CN"/>
        </w:rPr>
        <w:t>）</w:t>
      </w:r>
      <w:r>
        <w:rPr>
          <w:rFonts w:hint="eastAsia" w:ascii="宋体" w:hAnsi="宋体"/>
          <w:sz w:val="24"/>
        </w:rPr>
        <w:t>；</w:t>
      </w:r>
    </w:p>
    <w:p w14:paraId="7281BA1D">
      <w:pPr>
        <w:numPr>
          <w:ilvl w:val="0"/>
          <w:numId w:val="21"/>
        </w:numPr>
        <w:spacing w:line="360" w:lineRule="auto"/>
        <w:ind w:firstLine="578" w:firstLineChars="241"/>
        <w:rPr>
          <w:rFonts w:ascii="宋体" w:hAnsi="宋体"/>
          <w:sz w:val="24"/>
        </w:rPr>
      </w:pPr>
      <w:r>
        <w:rPr>
          <w:rFonts w:hint="eastAsia" w:ascii="宋体" w:hAnsi="宋体"/>
          <w:sz w:val="24"/>
        </w:rPr>
        <w:t>承诺书</w:t>
      </w:r>
      <w:r>
        <w:rPr>
          <w:rFonts w:hint="eastAsia" w:ascii="宋体" w:hAnsi="宋体"/>
          <w:sz w:val="24"/>
          <w:lang w:eastAsia="zh-CN"/>
        </w:rPr>
        <w:t>（</w:t>
      </w:r>
      <w:r>
        <w:rPr>
          <w:rFonts w:hint="eastAsia" w:ascii="宋体" w:hAnsi="宋体"/>
          <w:sz w:val="24"/>
          <w:lang w:val="en-US" w:eastAsia="zh-CN"/>
        </w:rPr>
        <w:t>见附件4</w:t>
      </w:r>
      <w:r>
        <w:rPr>
          <w:rFonts w:hint="eastAsia" w:ascii="宋体" w:hAnsi="宋体"/>
          <w:sz w:val="24"/>
          <w:lang w:eastAsia="zh-CN"/>
        </w:rPr>
        <w:t>）</w:t>
      </w:r>
      <w:r>
        <w:rPr>
          <w:rFonts w:hint="eastAsia" w:ascii="宋体" w:hAnsi="宋体"/>
          <w:sz w:val="24"/>
        </w:rPr>
        <w:t>；</w:t>
      </w:r>
    </w:p>
    <w:p w14:paraId="20FC07E0">
      <w:pPr>
        <w:numPr>
          <w:ilvl w:val="0"/>
          <w:numId w:val="21"/>
        </w:numPr>
        <w:spacing w:line="360" w:lineRule="auto"/>
        <w:ind w:firstLine="578" w:firstLineChars="241"/>
        <w:rPr>
          <w:rFonts w:ascii="宋体" w:hAnsi="宋体"/>
          <w:sz w:val="24"/>
        </w:rPr>
      </w:pPr>
      <w:r>
        <w:rPr>
          <w:rFonts w:hint="eastAsia" w:ascii="宋体" w:hAnsi="宋体"/>
          <w:sz w:val="24"/>
        </w:rPr>
        <w:t>授权委托书</w:t>
      </w:r>
      <w:r>
        <w:rPr>
          <w:rFonts w:hint="eastAsia" w:ascii="宋体" w:hAnsi="宋体"/>
          <w:sz w:val="24"/>
          <w:lang w:eastAsia="zh-CN"/>
        </w:rPr>
        <w:t>（</w:t>
      </w:r>
      <w:r>
        <w:rPr>
          <w:rFonts w:hint="eastAsia" w:ascii="宋体" w:hAnsi="宋体"/>
          <w:sz w:val="24"/>
          <w:lang w:val="en-US" w:eastAsia="zh-CN"/>
        </w:rPr>
        <w:t>见附件5</w:t>
      </w:r>
      <w:r>
        <w:rPr>
          <w:rFonts w:hint="eastAsia" w:ascii="宋体" w:hAnsi="宋体"/>
          <w:sz w:val="24"/>
          <w:lang w:eastAsia="zh-CN"/>
        </w:rPr>
        <w:t>）</w:t>
      </w:r>
      <w:r>
        <w:rPr>
          <w:rFonts w:hint="eastAsia" w:ascii="宋体" w:hAnsi="宋体"/>
          <w:sz w:val="24"/>
        </w:rPr>
        <w:t>；</w:t>
      </w:r>
    </w:p>
    <w:p w14:paraId="49914B63">
      <w:pPr>
        <w:tabs>
          <w:tab w:val="left" w:pos="0"/>
        </w:tabs>
        <w:spacing w:line="360" w:lineRule="auto"/>
        <w:ind w:firstLine="480" w:firstLineChars="200"/>
        <w:rPr>
          <w:rFonts w:ascii="宋体" w:hAnsi="宋体"/>
          <w:color w:val="000000"/>
          <w:sz w:val="24"/>
        </w:rPr>
      </w:pPr>
      <w:r>
        <w:rPr>
          <w:rFonts w:hint="eastAsia" w:ascii="宋体" w:hAnsi="宋体"/>
          <w:color w:val="000000"/>
          <w:sz w:val="24"/>
          <w:lang w:val="en-US" w:eastAsia="zh-CN"/>
        </w:rPr>
        <w:t>说明：《</w:t>
      </w:r>
      <w:r>
        <w:rPr>
          <w:rFonts w:hint="eastAsia" w:ascii="宋体" w:hAnsi="宋体"/>
          <w:color w:val="000000"/>
          <w:sz w:val="24"/>
        </w:rPr>
        <w:t>开标一览表</w:t>
      </w:r>
      <w:r>
        <w:rPr>
          <w:rFonts w:hint="eastAsia" w:ascii="宋体" w:hAnsi="宋体"/>
          <w:color w:val="000000"/>
          <w:sz w:val="24"/>
          <w:lang w:val="en-US" w:eastAsia="zh-CN"/>
        </w:rPr>
        <w:t>》</w:t>
      </w:r>
      <w:r>
        <w:rPr>
          <w:rFonts w:hint="eastAsia" w:ascii="宋体" w:hAnsi="宋体"/>
          <w:b/>
          <w:bCs/>
          <w:color w:val="000000"/>
          <w:sz w:val="24"/>
          <w:lang w:val="en-US" w:eastAsia="zh-CN"/>
        </w:rPr>
        <w:t>在</w:t>
      </w:r>
      <w:r>
        <w:rPr>
          <w:rFonts w:hint="eastAsia" w:ascii="宋体" w:hAnsi="宋体"/>
          <w:b/>
          <w:bCs/>
          <w:color w:val="000000"/>
          <w:sz w:val="24"/>
        </w:rPr>
        <w:t>提供纸质版材料同时</w:t>
      </w:r>
      <w:r>
        <w:rPr>
          <w:rFonts w:hint="eastAsia" w:ascii="宋体" w:hAnsi="宋体"/>
          <w:b/>
          <w:bCs/>
          <w:color w:val="000000"/>
          <w:sz w:val="24"/>
          <w:lang w:eastAsia="zh-CN"/>
        </w:rPr>
        <w:t>，</w:t>
      </w:r>
      <w:r>
        <w:rPr>
          <w:rFonts w:hint="eastAsia" w:ascii="宋体" w:hAnsi="宋体"/>
          <w:b/>
          <w:bCs/>
          <w:color w:val="000000"/>
          <w:sz w:val="24"/>
        </w:rPr>
        <w:t>须附</w:t>
      </w:r>
      <w:r>
        <w:rPr>
          <w:rFonts w:hint="eastAsia" w:ascii="宋体" w:hAnsi="宋体"/>
          <w:b/>
          <w:bCs/>
          <w:color w:val="000000"/>
          <w:sz w:val="24"/>
          <w:lang w:eastAsia="zh-CN"/>
        </w:rPr>
        <w:t>《</w:t>
      </w:r>
      <w:r>
        <w:rPr>
          <w:rFonts w:hint="eastAsia" w:ascii="宋体" w:hAnsi="宋体"/>
          <w:b/>
          <w:bCs/>
          <w:color w:val="000000"/>
          <w:sz w:val="24"/>
        </w:rPr>
        <w:t>开标一览表</w:t>
      </w:r>
      <w:r>
        <w:rPr>
          <w:rFonts w:hint="eastAsia" w:ascii="宋体" w:hAnsi="宋体"/>
          <w:b/>
          <w:bCs/>
          <w:color w:val="000000"/>
          <w:sz w:val="24"/>
          <w:lang w:eastAsia="zh-CN"/>
        </w:rPr>
        <w:t>》</w:t>
      </w:r>
      <w:r>
        <w:rPr>
          <w:rFonts w:hint="eastAsia" w:ascii="宋体" w:hAnsi="宋体"/>
          <w:b/>
          <w:bCs/>
          <w:color w:val="000000"/>
          <w:sz w:val="24"/>
        </w:rPr>
        <w:t>EXCEL电子版</w:t>
      </w:r>
      <w:r>
        <w:rPr>
          <w:rFonts w:hint="eastAsia" w:ascii="宋体" w:hAnsi="宋体"/>
          <w:b/>
          <w:bCs/>
          <w:color w:val="000000"/>
          <w:sz w:val="24"/>
          <w:lang w:eastAsia="zh-CN"/>
        </w:rPr>
        <w:t>！</w:t>
      </w:r>
      <w:r>
        <w:rPr>
          <w:rFonts w:hint="eastAsia" w:ascii="宋体" w:hAnsi="宋体"/>
          <w:b/>
          <w:bCs/>
          <w:color w:val="000000"/>
          <w:sz w:val="24"/>
        </w:rPr>
        <w:t>格式严格按照附件</w:t>
      </w:r>
      <w:r>
        <w:rPr>
          <w:rFonts w:hint="eastAsia" w:ascii="宋体" w:hAnsi="宋体"/>
          <w:b/>
          <w:bCs/>
          <w:color w:val="000000"/>
          <w:sz w:val="24"/>
          <w:lang w:val="en-US" w:eastAsia="zh-CN"/>
        </w:rPr>
        <w:t>2设定的</w:t>
      </w:r>
      <w:r>
        <w:rPr>
          <w:rFonts w:hint="eastAsia" w:ascii="宋体" w:hAnsi="宋体"/>
          <w:b/>
          <w:bCs/>
          <w:color w:val="000000"/>
          <w:sz w:val="24"/>
        </w:rPr>
        <w:t>excel</w:t>
      </w:r>
      <w:r>
        <w:rPr>
          <w:rFonts w:hint="eastAsia" w:ascii="宋体" w:hAnsi="宋体"/>
          <w:b/>
          <w:bCs/>
          <w:color w:val="000000"/>
          <w:sz w:val="24"/>
          <w:lang w:val="en-US" w:eastAsia="zh-CN"/>
        </w:rPr>
        <w:t>格式</w:t>
      </w:r>
      <w:r>
        <w:rPr>
          <w:rFonts w:hint="eastAsia" w:ascii="宋体" w:hAnsi="宋体"/>
          <w:b/>
          <w:bCs/>
          <w:color w:val="000000"/>
          <w:sz w:val="24"/>
        </w:rPr>
        <w:t>填写，不准删减或更改行列！！！</w:t>
      </w:r>
      <w:r>
        <w:rPr>
          <w:rFonts w:hint="eastAsia" w:ascii="宋体" w:hAnsi="宋体"/>
          <w:b/>
          <w:bCs/>
          <w:color w:val="000000"/>
          <w:sz w:val="24"/>
          <w:lang w:val="en-US" w:eastAsia="zh-CN"/>
        </w:rPr>
        <w:t>因</w:t>
      </w:r>
      <w:r>
        <w:rPr>
          <w:rFonts w:hint="eastAsia" w:ascii="宋体" w:hAnsi="宋体"/>
          <w:b/>
          <w:bCs/>
          <w:color w:val="000000"/>
          <w:sz w:val="24"/>
        </w:rPr>
        <w:t>开标现场录入供应商电子版报价信息</w:t>
      </w:r>
      <w:r>
        <w:rPr>
          <w:rFonts w:hint="eastAsia" w:ascii="宋体" w:hAnsi="宋体"/>
          <w:b/>
          <w:bCs/>
          <w:color w:val="000000"/>
          <w:sz w:val="24"/>
          <w:lang w:val="en-US" w:eastAsia="zh-CN"/>
        </w:rPr>
        <w:t>的</w:t>
      </w:r>
      <w:r>
        <w:rPr>
          <w:rFonts w:hint="eastAsia" w:ascii="宋体" w:hAnsi="宋体"/>
          <w:b/>
          <w:bCs/>
          <w:color w:val="000000"/>
          <w:sz w:val="24"/>
        </w:rPr>
        <w:t>明细</w:t>
      </w:r>
      <w:r>
        <w:rPr>
          <w:rFonts w:hint="eastAsia" w:ascii="宋体" w:hAnsi="宋体"/>
          <w:b/>
          <w:bCs/>
          <w:color w:val="000000"/>
          <w:sz w:val="24"/>
          <w:lang w:val="en-US" w:eastAsia="zh-CN"/>
        </w:rPr>
        <w:t>较</w:t>
      </w:r>
      <w:r>
        <w:rPr>
          <w:rFonts w:hint="eastAsia" w:ascii="宋体" w:hAnsi="宋体"/>
          <w:b/>
          <w:bCs/>
          <w:color w:val="000000"/>
          <w:sz w:val="24"/>
        </w:rPr>
        <w:t>多，电子版作为报价的唯一依据，纸质版作为辅助。）</w:t>
      </w:r>
    </w:p>
    <w:p w14:paraId="3D93A267">
      <w:pPr>
        <w:spacing w:line="360" w:lineRule="auto"/>
        <w:ind w:left="0" w:firstLine="482" w:firstLineChars="200"/>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67803293">
      <w:pPr>
        <w:pStyle w:val="4"/>
        <w:numPr>
          <w:ilvl w:val="0"/>
          <w:numId w:val="20"/>
        </w:numPr>
        <w:ind w:left="425" w:hanging="425" w:firstLineChars="0"/>
      </w:pPr>
      <w:bookmarkStart w:id="121" w:name="_Toc212369518"/>
      <w:r>
        <w:rPr>
          <w:rFonts w:hint="eastAsia"/>
        </w:rPr>
        <w:t>投标内容填写说明</w:t>
      </w:r>
      <w:bookmarkEnd w:id="121"/>
    </w:p>
    <w:p w14:paraId="1A08A76E">
      <w:pPr>
        <w:numPr>
          <w:ilvl w:val="0"/>
          <w:numId w:val="22"/>
        </w:numPr>
        <w:tabs>
          <w:tab w:val="left" w:pos="0"/>
          <w:tab w:val="clear" w:pos="420"/>
        </w:tabs>
        <w:spacing w:line="360" w:lineRule="auto"/>
        <w:ind w:left="845" w:hanging="425" w:firstLineChars="0"/>
        <w:rPr>
          <w:rFonts w:ascii="宋体" w:hAnsi="宋体"/>
          <w:sz w:val="24"/>
        </w:rPr>
      </w:pPr>
      <w:r>
        <w:rPr>
          <w:rFonts w:hint="eastAsia" w:ascii="宋体" w:hAnsi="宋体"/>
          <w:sz w:val="24"/>
        </w:rPr>
        <w:t>投标文件按统一格式填写，装订成册。</w:t>
      </w:r>
    </w:p>
    <w:p w14:paraId="0C57088C">
      <w:pPr>
        <w:numPr>
          <w:ilvl w:val="0"/>
          <w:numId w:val="22"/>
        </w:numPr>
        <w:tabs>
          <w:tab w:val="left" w:pos="0"/>
          <w:tab w:val="clear" w:pos="420"/>
        </w:tabs>
        <w:spacing w:line="360" w:lineRule="auto"/>
        <w:ind w:left="845" w:hanging="425" w:firstLineChars="0"/>
        <w:rPr>
          <w:rFonts w:ascii="宋体" w:hAnsi="宋体"/>
          <w:b/>
          <w:sz w:val="24"/>
        </w:rPr>
      </w:pPr>
      <w:r>
        <w:rPr>
          <w:rFonts w:hint="eastAsia" w:ascii="宋体" w:hAnsi="宋体"/>
          <w:sz w:val="24"/>
        </w:rPr>
        <w:t>开标一览表为在开标仪式上唱标的内容，要求按格式填写、统一规范，不得自行增减内容。</w:t>
      </w:r>
    </w:p>
    <w:p w14:paraId="58089AB4">
      <w:pPr>
        <w:numPr>
          <w:ilvl w:val="0"/>
          <w:numId w:val="22"/>
        </w:numPr>
        <w:tabs>
          <w:tab w:val="left" w:pos="0"/>
          <w:tab w:val="clear" w:pos="420"/>
        </w:tabs>
        <w:spacing w:line="360" w:lineRule="auto"/>
        <w:ind w:left="845" w:leftChars="0" w:hanging="425" w:firstLineChars="0"/>
        <w:rPr>
          <w:rFonts w:hint="eastAsia" w:ascii="Times New Roman" w:hAnsi="Times New Roman" w:eastAsia="宋体" w:cs="Times New Roman"/>
          <w:bCs/>
          <w:kern w:val="0"/>
          <w:sz w:val="24"/>
          <w:szCs w:val="32"/>
          <w:lang w:val="en-US" w:eastAsia="zh-CN" w:bidi="ar-SA"/>
        </w:rPr>
      </w:pPr>
      <w:r>
        <w:rPr>
          <w:rFonts w:hint="eastAsia" w:ascii="Times New Roman" w:hAnsi="Times New Roman" w:eastAsia="宋体" w:cs="Times New Roman"/>
          <w:bCs/>
          <w:kern w:val="0"/>
          <w:sz w:val="24"/>
          <w:szCs w:val="32"/>
          <w:lang w:val="en-US" w:eastAsia="zh-CN" w:bidi="ar-SA"/>
        </w:rPr>
        <w:t>因采取线上开标+线下商谈，供应商自备电脑和U盘，便于上传文件进行报价。</w:t>
      </w:r>
    </w:p>
    <w:p w14:paraId="4E1961FD">
      <w:pPr>
        <w:pStyle w:val="4"/>
        <w:numPr>
          <w:ilvl w:val="0"/>
          <w:numId w:val="20"/>
        </w:numPr>
        <w:ind w:left="425" w:hanging="425" w:firstLineChars="0"/>
        <w:rPr>
          <w:rFonts w:hint="eastAsia" w:ascii="Times New Roman" w:hAnsi="Times New Roman" w:eastAsia="宋体" w:cs="Times New Roman"/>
          <w:bCs/>
          <w:kern w:val="0"/>
          <w:sz w:val="24"/>
          <w:szCs w:val="32"/>
          <w:lang w:val="en-US" w:eastAsia="zh-CN" w:bidi="ar-SA"/>
        </w:rPr>
      </w:pPr>
      <w:bookmarkStart w:id="122" w:name="_Toc212369519"/>
      <w:r>
        <w:rPr>
          <w:rFonts w:hint="eastAsia" w:ascii="Times New Roman" w:hAnsi="Times New Roman" w:eastAsia="宋体" w:cs="Times New Roman"/>
          <w:bCs/>
          <w:kern w:val="0"/>
          <w:sz w:val="24"/>
          <w:szCs w:val="32"/>
          <w:lang w:val="en-US" w:eastAsia="zh-CN" w:bidi="ar-SA"/>
        </w:rPr>
        <w:t>投标报价</w:t>
      </w:r>
      <w:bookmarkEnd w:id="122"/>
    </w:p>
    <w:p w14:paraId="5AD2B4E9">
      <w:pPr>
        <w:tabs>
          <w:tab w:val="left" w:pos="0"/>
        </w:tabs>
        <w:spacing w:line="360" w:lineRule="auto"/>
        <w:ind w:left="0" w:leftChars="0" w:firstLine="480" w:firstLineChars="200"/>
        <w:rPr>
          <w:rFonts w:ascii="宋体" w:hAnsi="宋体"/>
          <w:sz w:val="24"/>
        </w:rPr>
      </w:pPr>
      <w:bookmarkStart w:id="123" w:name="_Toc352332865"/>
      <w:bookmarkStart w:id="124" w:name="_Toc346372891"/>
      <w:bookmarkStart w:id="125" w:name="_Toc346306744"/>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本次招标共分为3个标段，</w:t>
      </w:r>
      <w:r>
        <w:rPr>
          <w:rFonts w:hint="eastAsia" w:ascii="宋体" w:hAnsi="宋体" w:cs="宋体"/>
          <w:color w:val="000000"/>
          <w:sz w:val="24"/>
          <w:szCs w:val="24"/>
          <w:lang w:eastAsia="zh-CN"/>
        </w:rPr>
        <w:t>投标人</w:t>
      </w:r>
      <w:r>
        <w:rPr>
          <w:rFonts w:hint="eastAsia" w:ascii="宋体" w:hAnsi="宋体" w:cs="宋体"/>
          <w:color w:val="000000"/>
          <w:sz w:val="24"/>
          <w:szCs w:val="24"/>
          <w:lang w:val="en-US" w:eastAsia="zh-CN"/>
        </w:rPr>
        <w:t>必须对每一标段</w:t>
      </w:r>
      <w:r>
        <w:rPr>
          <w:rFonts w:hint="eastAsia" w:ascii="宋体" w:hAnsi="宋体" w:cs="宋体"/>
          <w:color w:val="000000"/>
          <w:sz w:val="24"/>
          <w:szCs w:val="24"/>
        </w:rPr>
        <w:t>进行报价</w:t>
      </w:r>
      <w:r>
        <w:rPr>
          <w:rFonts w:hint="eastAsia" w:ascii="宋体" w:hAnsi="宋体"/>
          <w:b/>
          <w:bCs w:val="0"/>
          <w:sz w:val="24"/>
          <w:highlight w:val="none"/>
          <w:lang w:val="en-US" w:eastAsia="zh-CN"/>
        </w:rPr>
        <w:t>。</w:t>
      </w:r>
    </w:p>
    <w:p w14:paraId="05EF666A">
      <w:pPr>
        <w:pStyle w:val="4"/>
        <w:numPr>
          <w:ilvl w:val="0"/>
          <w:numId w:val="20"/>
        </w:numPr>
        <w:ind w:left="425" w:hanging="425" w:firstLineChars="0"/>
      </w:pPr>
      <w:r>
        <w:rPr>
          <w:rFonts w:hint="eastAsia"/>
        </w:rPr>
        <w:t>投标文件签署</w:t>
      </w:r>
      <w:bookmarkEnd w:id="123"/>
      <w:bookmarkEnd w:id="124"/>
      <w:bookmarkEnd w:id="125"/>
    </w:p>
    <w:p w14:paraId="1640D71B">
      <w:pPr>
        <w:numPr>
          <w:ilvl w:val="0"/>
          <w:numId w:val="23"/>
        </w:numPr>
        <w:tabs>
          <w:tab w:val="left" w:pos="0"/>
          <w:tab w:val="clear" w:pos="420"/>
        </w:tabs>
        <w:spacing w:line="360" w:lineRule="auto"/>
        <w:ind w:left="845" w:leftChars="0" w:hanging="425" w:firstLineChars="0"/>
        <w:rPr>
          <w:rFonts w:ascii="宋体" w:hAnsi="宋体" w:cs="宋体"/>
          <w:sz w:val="24"/>
          <w:szCs w:val="24"/>
        </w:rPr>
      </w:pPr>
      <w:r>
        <w:rPr>
          <w:rFonts w:hint="eastAsia" w:ascii="宋体" w:hAnsi="宋体" w:cs="宋体"/>
          <w:sz w:val="24"/>
          <w:szCs w:val="24"/>
        </w:rPr>
        <w:t>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签字须使用黑色或蓝色不可褪色签字笔，由</w:t>
      </w:r>
      <w:r>
        <w:rPr>
          <w:rFonts w:hint="eastAsia" w:ascii="宋体" w:hAnsi="宋体" w:cs="宋体"/>
          <w:b/>
          <w:bCs/>
          <w:sz w:val="24"/>
          <w:szCs w:val="24"/>
          <w:lang w:eastAsia="zh-CN"/>
        </w:rPr>
        <w:t>投标人</w:t>
      </w:r>
      <w:r>
        <w:rPr>
          <w:rFonts w:hint="eastAsia" w:ascii="宋体" w:hAnsi="宋体" w:cs="宋体"/>
          <w:b/>
          <w:bCs/>
          <w:sz w:val="24"/>
          <w:szCs w:val="24"/>
        </w:rPr>
        <w:t>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14:paraId="62888BEE">
      <w:pPr>
        <w:numPr>
          <w:ilvl w:val="0"/>
          <w:numId w:val="23"/>
        </w:numPr>
        <w:tabs>
          <w:tab w:val="left" w:pos="0"/>
          <w:tab w:val="clear" w:pos="420"/>
        </w:tabs>
        <w:spacing w:line="360" w:lineRule="auto"/>
        <w:ind w:left="845" w:leftChars="0" w:hanging="425" w:firstLineChars="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14:paraId="0A33DD41">
      <w:pPr>
        <w:pStyle w:val="4"/>
        <w:numPr>
          <w:ilvl w:val="0"/>
          <w:numId w:val="20"/>
        </w:numPr>
        <w:ind w:left="425" w:hanging="425" w:firstLineChars="0"/>
      </w:pPr>
      <w:bookmarkStart w:id="126" w:name="_Toc346306745"/>
      <w:bookmarkStart w:id="127" w:name="_Toc346372892"/>
      <w:bookmarkStart w:id="128" w:name="_Toc352332866"/>
      <w:r>
        <w:rPr>
          <w:rFonts w:hint="eastAsia"/>
        </w:rPr>
        <w:t>投标文件密封和标记</w:t>
      </w:r>
      <w:bookmarkEnd w:id="126"/>
      <w:bookmarkEnd w:id="127"/>
      <w:bookmarkEnd w:id="128"/>
    </w:p>
    <w:p w14:paraId="092F6D6F">
      <w:pPr>
        <w:numPr>
          <w:ilvl w:val="0"/>
          <w:numId w:val="24"/>
        </w:numPr>
        <w:tabs>
          <w:tab w:val="left" w:pos="0"/>
          <w:tab w:val="clear" w:pos="420"/>
        </w:tabs>
        <w:spacing w:line="360" w:lineRule="auto"/>
        <w:ind w:left="845" w:hanging="425" w:firstLineChars="0"/>
        <w:rPr>
          <w:rFonts w:ascii="宋体" w:hAnsi="宋体"/>
          <w:sz w:val="24"/>
          <w:szCs w:val="24"/>
        </w:rPr>
      </w:pPr>
      <w:r>
        <w:rPr>
          <w:rFonts w:hint="eastAsia" w:ascii="宋体" w:hAnsi="宋体" w:cs="宋体"/>
          <w:sz w:val="24"/>
          <w:szCs w:val="24"/>
        </w:rPr>
        <w:t>投标人应准备的投标文件份数见投标人须知前附表第</w:t>
      </w:r>
      <w:r>
        <w:rPr>
          <w:rFonts w:hint="eastAsia" w:ascii="宋体" w:hAnsi="宋体" w:cs="宋体"/>
          <w:sz w:val="24"/>
          <w:szCs w:val="24"/>
          <w:lang w:val="en-US" w:eastAsia="zh-CN"/>
        </w:rPr>
        <w:t>8</w:t>
      </w:r>
      <w:r>
        <w:rPr>
          <w:rFonts w:hint="eastAsia" w:ascii="宋体" w:hAnsi="宋体" w:cs="宋体"/>
          <w:sz w:val="24"/>
          <w:szCs w:val="24"/>
        </w:rPr>
        <w:t>项，投标人应在每一份投标文件上注明“正本”或“副本”字样。</w:t>
      </w:r>
    </w:p>
    <w:p w14:paraId="58B533C4">
      <w:pPr>
        <w:numPr>
          <w:ilvl w:val="0"/>
          <w:numId w:val="24"/>
        </w:numPr>
        <w:tabs>
          <w:tab w:val="left" w:pos="0"/>
          <w:tab w:val="clear" w:pos="420"/>
        </w:tabs>
        <w:spacing w:line="360" w:lineRule="auto"/>
        <w:ind w:left="845" w:hanging="425" w:firstLineChars="0"/>
        <w:rPr>
          <w:rFonts w:ascii="宋体" w:hAnsi="宋体"/>
          <w:sz w:val="24"/>
          <w:szCs w:val="24"/>
        </w:rPr>
      </w:pPr>
      <w:r>
        <w:rPr>
          <w:rFonts w:hint="eastAsia" w:ascii="宋体" w:hAnsi="宋体" w:cs="宋体"/>
          <w:sz w:val="24"/>
          <w:szCs w:val="24"/>
        </w:rPr>
        <w:t>投标文件的密封和标记详见投标人须知前附表第</w:t>
      </w:r>
      <w:r>
        <w:rPr>
          <w:rFonts w:hint="eastAsia" w:ascii="宋体" w:hAnsi="宋体" w:cs="宋体"/>
          <w:sz w:val="24"/>
          <w:szCs w:val="24"/>
          <w:lang w:val="en-US" w:eastAsia="zh-CN"/>
        </w:rPr>
        <w:t>9</w:t>
      </w:r>
      <w:r>
        <w:rPr>
          <w:rFonts w:hint="eastAsia" w:ascii="宋体" w:hAnsi="宋体" w:cs="宋体"/>
          <w:sz w:val="24"/>
          <w:szCs w:val="24"/>
        </w:rPr>
        <w:t>项。</w:t>
      </w:r>
    </w:p>
    <w:p w14:paraId="04E03AEE">
      <w:pPr>
        <w:pStyle w:val="4"/>
        <w:numPr>
          <w:ilvl w:val="0"/>
          <w:numId w:val="20"/>
        </w:numPr>
        <w:bidi w:val="0"/>
        <w:ind w:left="425" w:leftChars="0" w:hanging="425" w:firstLineChars="0"/>
        <w:rPr>
          <w:rFonts w:hint="eastAsia"/>
        </w:rPr>
      </w:pPr>
      <w:bookmarkStart w:id="129" w:name="_Toc352332867"/>
      <w:bookmarkStart w:id="130" w:name="_Toc346306746"/>
      <w:bookmarkStart w:id="131" w:name="_Toc346372893"/>
      <w:r>
        <w:rPr>
          <w:rFonts w:hint="eastAsia"/>
          <w:lang w:val="en-US" w:eastAsia="zh-CN"/>
        </w:rPr>
        <w:t xml:space="preserve"> </w:t>
      </w:r>
      <w:r>
        <w:rPr>
          <w:rFonts w:hint="eastAsia"/>
        </w:rPr>
        <w:t>投标保证金</w:t>
      </w:r>
      <w:bookmarkEnd w:id="129"/>
      <w:bookmarkEnd w:id="130"/>
      <w:bookmarkEnd w:id="131"/>
    </w:p>
    <w:p w14:paraId="7029D563">
      <w:pPr>
        <w:numPr>
          <w:ilvl w:val="0"/>
          <w:numId w:val="25"/>
        </w:numPr>
        <w:tabs>
          <w:tab w:val="left" w:pos="0"/>
          <w:tab w:val="clear" w:pos="420"/>
        </w:tabs>
        <w:bidi w:val="0"/>
        <w:spacing w:line="360" w:lineRule="auto"/>
        <w:ind w:left="845" w:hanging="425"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新供方：</w:t>
      </w:r>
      <w:r>
        <w:rPr>
          <w:rFonts w:hint="eastAsia" w:ascii="宋体" w:hAnsi="宋体" w:cs="宋体"/>
          <w:color w:val="000000"/>
          <w:sz w:val="24"/>
          <w:szCs w:val="24"/>
          <w:highlight w:val="none"/>
        </w:rPr>
        <w:t>未中标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在中标通知书发出后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在合同签订后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w:t>
      </w:r>
      <w:r>
        <w:rPr>
          <w:rFonts w:hint="eastAsia" w:ascii="宋体" w:hAnsi="宋体" w:cs="宋体"/>
          <w:sz w:val="24"/>
          <w:szCs w:val="24"/>
          <w:highlight w:val="none"/>
          <w:lang w:val="en-US" w:eastAsia="zh-CN"/>
        </w:rPr>
        <w:t>；</w:t>
      </w:r>
    </w:p>
    <w:p w14:paraId="46E7E649">
      <w:pPr>
        <w:numPr>
          <w:ilvl w:val="0"/>
          <w:numId w:val="25"/>
        </w:numPr>
        <w:tabs>
          <w:tab w:val="left" w:pos="0"/>
          <w:tab w:val="clear" w:pos="420"/>
        </w:tabs>
        <w:spacing w:after="0" w:line="360" w:lineRule="auto"/>
        <w:ind w:left="845" w:hanging="425" w:firstLineChars="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现供方：</w:t>
      </w:r>
      <w:r>
        <w:rPr>
          <w:rFonts w:hint="eastAsia" w:ascii="宋体" w:hAnsi="宋体" w:cs="宋体"/>
          <w:sz w:val="24"/>
          <w:szCs w:val="24"/>
          <w:highlight w:val="none"/>
        </w:rPr>
        <w:t>未中标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val="en-US" w:eastAsia="zh-CN"/>
        </w:rPr>
        <w:t>投标保证金承诺函自动失效</w:t>
      </w:r>
      <w:r>
        <w:rPr>
          <w:rFonts w:hint="eastAsia" w:ascii="宋体" w:hAnsi="宋体" w:cs="宋体"/>
          <w:sz w:val="24"/>
          <w:szCs w:val="24"/>
          <w:highlight w:val="none"/>
        </w:rPr>
        <w:t>；中标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投标保证金承诺函在签订合同并缴纳履约保证金后自动失效。</w:t>
      </w:r>
    </w:p>
    <w:p w14:paraId="1060D21E">
      <w:pPr>
        <w:pStyle w:val="3"/>
        <w:numPr>
          <w:ilvl w:val="1"/>
          <w:numId w:val="0"/>
        </w:numPr>
        <w:spacing w:before="0" w:beforeLines="0" w:line="360" w:lineRule="auto"/>
        <w:ind w:firstLine="562" w:firstLineChars="200"/>
        <w:jc w:val="left"/>
        <w:rPr>
          <w:sz w:val="28"/>
          <w:szCs w:val="28"/>
        </w:rPr>
      </w:pPr>
      <w:bookmarkStart w:id="132" w:name="_Toc9933"/>
      <w:bookmarkStart w:id="133" w:name="_Toc31423"/>
      <w:bookmarkStart w:id="134" w:name="_Toc31358"/>
      <w:bookmarkStart w:id="135" w:name="_Toc28928"/>
      <w:r>
        <w:rPr>
          <w:rFonts w:hint="eastAsia"/>
          <w:sz w:val="28"/>
          <w:szCs w:val="28"/>
          <w:lang w:val="en-US" w:eastAsia="zh-CN"/>
        </w:rPr>
        <w:t>2.3</w:t>
      </w:r>
      <w:r>
        <w:rPr>
          <w:rFonts w:hint="eastAsia"/>
          <w:sz w:val="28"/>
          <w:szCs w:val="28"/>
        </w:rPr>
        <w:t>开标与评标</w:t>
      </w:r>
      <w:bookmarkEnd w:id="132"/>
      <w:bookmarkEnd w:id="133"/>
      <w:bookmarkEnd w:id="134"/>
      <w:bookmarkEnd w:id="135"/>
    </w:p>
    <w:p w14:paraId="3846A59C">
      <w:pPr>
        <w:pStyle w:val="20"/>
        <w:numPr>
          <w:ilvl w:val="0"/>
          <w:numId w:val="26"/>
        </w:numPr>
        <w:spacing w:beforeLines="0" w:afterLines="0"/>
        <w:ind w:left="425" w:hanging="425" w:firstLineChars="0"/>
      </w:pPr>
      <w:bookmarkStart w:id="136" w:name="_Toc212369527"/>
      <w:bookmarkStart w:id="137" w:name="_Toc129697466"/>
      <w:r>
        <w:rPr>
          <w:rFonts w:hint="eastAsia"/>
        </w:rPr>
        <w:t>开标</w:t>
      </w:r>
      <w:bookmarkEnd w:id="136"/>
      <w:bookmarkEnd w:id="137"/>
    </w:p>
    <w:p w14:paraId="2B7EDB5D">
      <w:pPr>
        <w:pStyle w:val="20"/>
        <w:spacing w:beforeLines="0" w:afterLines="0"/>
      </w:pPr>
      <w:bookmarkStart w:id="138" w:name="_Toc129697467"/>
      <w:r>
        <w:rPr>
          <w:rFonts w:hint="eastAsia"/>
        </w:rPr>
        <w:t>本次招标的开标、评标由招标人依法组织实施。</w:t>
      </w:r>
      <w:bookmarkEnd w:id="138"/>
    </w:p>
    <w:p w14:paraId="3D83E33E">
      <w:pPr>
        <w:pStyle w:val="20"/>
        <w:numPr>
          <w:ilvl w:val="0"/>
          <w:numId w:val="26"/>
        </w:numPr>
        <w:spacing w:beforeLines="0" w:afterLines="0"/>
        <w:ind w:left="425" w:hanging="425" w:firstLineChars="0"/>
      </w:pPr>
      <w:bookmarkStart w:id="139" w:name="_Toc129697468"/>
      <w:bookmarkStart w:id="140" w:name="_Toc3413"/>
      <w:bookmarkStart w:id="141" w:name="_Toc24637"/>
      <w:r>
        <w:rPr>
          <w:rFonts w:hint="eastAsia"/>
        </w:rPr>
        <w:t>开标会议由招标人组织并主持</w:t>
      </w:r>
      <w:r>
        <w:rPr>
          <w:rFonts w:hint="eastAsia"/>
          <w:lang w:eastAsia="zh-CN"/>
        </w:rPr>
        <w:t>，</w:t>
      </w:r>
      <w:r>
        <w:rPr>
          <w:rFonts w:hint="eastAsia"/>
        </w:rPr>
        <w:t>开标时间和地点见投标人须知前附表。招标人邀请各投标人派员参加开标会议。投标人未参加开标的，视同认可开标结果。</w:t>
      </w:r>
      <w:bookmarkEnd w:id="139"/>
      <w:bookmarkEnd w:id="140"/>
      <w:bookmarkEnd w:id="141"/>
    </w:p>
    <w:p w14:paraId="29BDEB27">
      <w:pPr>
        <w:pStyle w:val="20"/>
        <w:numPr>
          <w:ilvl w:val="0"/>
          <w:numId w:val="26"/>
        </w:numPr>
        <w:spacing w:beforeLines="0" w:afterLines="0"/>
        <w:ind w:left="425" w:hanging="425" w:firstLineChars="0"/>
      </w:pPr>
      <w:bookmarkStart w:id="142" w:name="_Toc4395"/>
      <w:bookmarkStart w:id="143" w:name="_Toc15121"/>
      <w:bookmarkStart w:id="144" w:name="_Toc129697469"/>
      <w:r>
        <w:rPr>
          <w:rFonts w:hint="eastAsia"/>
        </w:rPr>
        <w:t>开标程序</w:t>
      </w:r>
      <w:bookmarkEnd w:id="142"/>
      <w:bookmarkEnd w:id="143"/>
      <w:bookmarkEnd w:id="144"/>
    </w:p>
    <w:p w14:paraId="110080E8">
      <w:pPr>
        <w:pStyle w:val="20"/>
        <w:numPr>
          <w:ilvl w:val="0"/>
          <w:numId w:val="27"/>
        </w:numPr>
        <w:spacing w:beforeLines="0" w:afterLines="0"/>
        <w:ind w:left="845" w:hanging="425" w:firstLineChars="0"/>
      </w:pPr>
      <w:r>
        <w:rPr>
          <w:rFonts w:hint="eastAsia"/>
        </w:rPr>
        <w:t>宣布开标会议开始并宣读开标纪律。</w:t>
      </w:r>
    </w:p>
    <w:p w14:paraId="43A2C889">
      <w:pPr>
        <w:pStyle w:val="20"/>
        <w:numPr>
          <w:ilvl w:val="0"/>
          <w:numId w:val="27"/>
        </w:numPr>
        <w:spacing w:beforeLines="0" w:afterLines="0"/>
        <w:ind w:left="845" w:hanging="425" w:firstLineChars="0"/>
      </w:pPr>
      <w:r>
        <w:rPr>
          <w:rFonts w:hint="eastAsia"/>
        </w:rPr>
        <w:t>介绍与会人员。</w:t>
      </w:r>
    </w:p>
    <w:p w14:paraId="7D814283">
      <w:pPr>
        <w:pStyle w:val="20"/>
        <w:numPr>
          <w:ilvl w:val="0"/>
          <w:numId w:val="27"/>
        </w:numPr>
        <w:spacing w:beforeLines="0" w:afterLines="0"/>
        <w:ind w:left="845" w:hanging="425" w:firstLineChars="0"/>
        <w:rPr>
          <w:rFonts w:ascii="宋体" w:hAnsi="宋体"/>
          <w:color w:val="000000"/>
          <w:szCs w:val="24"/>
        </w:rPr>
      </w:pPr>
      <w:r>
        <w:rPr>
          <w:rFonts w:hint="eastAsia" w:ascii="宋体" w:hAnsi="宋体"/>
          <w:color w:val="000000"/>
          <w:szCs w:val="24"/>
        </w:rPr>
        <w:t>核验投标人资格证件，内容详见投标人须知前附表。</w:t>
      </w:r>
    </w:p>
    <w:p w14:paraId="203A9E73">
      <w:pPr>
        <w:pStyle w:val="20"/>
        <w:numPr>
          <w:ilvl w:val="0"/>
          <w:numId w:val="27"/>
        </w:numPr>
        <w:spacing w:beforeLines="0" w:afterLines="0"/>
        <w:ind w:left="845" w:hanging="425" w:firstLineChars="0"/>
        <w:rPr>
          <w:rFonts w:ascii="宋体" w:hAnsi="宋体"/>
          <w:color w:val="000000"/>
          <w:szCs w:val="24"/>
        </w:rPr>
      </w:pPr>
      <w:r>
        <w:rPr>
          <w:rFonts w:hint="eastAsia" w:ascii="宋体" w:hAnsi="宋体"/>
          <w:color w:val="000000"/>
          <w:szCs w:val="24"/>
        </w:rPr>
        <w:t>投标人或投标人推选的代表对投标文件密封情况进行检查（投标人未参加开标会议的，视同认可投标文件密封完好）。</w:t>
      </w:r>
    </w:p>
    <w:p w14:paraId="24F7A929">
      <w:pPr>
        <w:pStyle w:val="20"/>
        <w:numPr>
          <w:ilvl w:val="0"/>
          <w:numId w:val="27"/>
        </w:numPr>
        <w:spacing w:beforeLines="0" w:afterLines="0"/>
        <w:ind w:left="845" w:hanging="425" w:firstLineChars="0"/>
      </w:pPr>
      <w:r>
        <w:rPr>
          <w:rFonts w:hint="eastAsia" w:ascii="宋体" w:hAnsi="宋体"/>
          <w:color w:val="000000"/>
          <w:szCs w:val="24"/>
        </w:rPr>
        <w:t>唱标结束后，由工作人员当众拆封技术标书，由评标专家组对所有</w:t>
      </w:r>
      <w:r>
        <w:rPr>
          <w:rFonts w:hint="eastAsia" w:ascii="宋体" w:hAnsi="宋体"/>
          <w:color w:val="000000"/>
          <w:szCs w:val="24"/>
          <w:lang w:eastAsia="zh-CN"/>
        </w:rPr>
        <w:t>投标人</w:t>
      </w:r>
      <w:r>
        <w:rPr>
          <w:rFonts w:hint="eastAsia" w:ascii="宋体" w:hAnsi="宋体"/>
          <w:color w:val="000000"/>
          <w:szCs w:val="24"/>
        </w:rPr>
        <w:t>的技术标部分综合评定和打分，确定进入</w:t>
      </w:r>
      <w:r>
        <w:rPr>
          <w:rFonts w:hint="eastAsia"/>
        </w:rPr>
        <w:t>商务标评比资格的</w:t>
      </w:r>
      <w:r>
        <w:rPr>
          <w:rFonts w:hint="eastAsia"/>
          <w:lang w:eastAsia="zh-CN"/>
        </w:rPr>
        <w:t>投标人</w:t>
      </w:r>
      <w:r>
        <w:rPr>
          <w:rFonts w:hint="eastAsia"/>
        </w:rPr>
        <w:t>。</w:t>
      </w:r>
    </w:p>
    <w:p w14:paraId="260DECB3">
      <w:pPr>
        <w:pStyle w:val="20"/>
        <w:numPr>
          <w:ilvl w:val="0"/>
          <w:numId w:val="27"/>
        </w:numPr>
        <w:spacing w:beforeLines="0" w:afterLines="0"/>
        <w:ind w:left="845" w:hanging="425" w:firstLineChars="0"/>
        <w:rPr>
          <w:rFonts w:hint="eastAsia"/>
        </w:rPr>
      </w:pPr>
      <w:r>
        <w:rPr>
          <w:rFonts w:hint="eastAsia"/>
        </w:rPr>
        <w:t>进行商务标的评标，招标人有权根据项目情况，采取多轮评标模式，确定</w:t>
      </w:r>
      <w:r>
        <w:rPr>
          <w:rFonts w:hint="eastAsia"/>
          <w:lang w:eastAsia="zh-CN"/>
        </w:rPr>
        <w:t>中标单位</w:t>
      </w:r>
      <w:r>
        <w:rPr>
          <w:rFonts w:hint="eastAsia"/>
        </w:rPr>
        <w:t>。</w:t>
      </w:r>
    </w:p>
    <w:p w14:paraId="5289D1DF">
      <w:pPr>
        <w:pStyle w:val="20"/>
        <w:numPr>
          <w:ilvl w:val="0"/>
          <w:numId w:val="26"/>
        </w:numPr>
        <w:spacing w:beforeLines="0" w:afterLines="0"/>
        <w:ind w:left="425" w:hanging="425" w:firstLineChars="0"/>
        <w:rPr>
          <w:rFonts w:hint="eastAsia" w:ascii="宋体" w:hAnsi="宋体" w:cs="宋体"/>
        </w:rPr>
      </w:pPr>
      <w:bookmarkStart w:id="145" w:name="_Toc12777"/>
      <w:bookmarkStart w:id="146" w:name="_Toc212369528"/>
      <w:bookmarkStart w:id="147" w:name="_Toc129697471"/>
      <w:bookmarkStart w:id="148" w:name="_Toc32715"/>
      <w:bookmarkStart w:id="149" w:name="_Toc92678128"/>
      <w:r>
        <w:rPr>
          <w:rFonts w:hint="eastAsia" w:ascii="宋体" w:hAnsi="宋体" w:cs="宋体"/>
        </w:rPr>
        <w:t>评标原则</w:t>
      </w:r>
      <w:bookmarkEnd w:id="145"/>
      <w:bookmarkEnd w:id="146"/>
      <w:bookmarkEnd w:id="147"/>
      <w:bookmarkEnd w:id="148"/>
      <w:bookmarkEnd w:id="149"/>
    </w:p>
    <w:p w14:paraId="5C08F676">
      <w:pPr>
        <w:spacing w:line="360" w:lineRule="auto"/>
        <w:ind w:firstLine="480" w:firstLineChars="200"/>
        <w:rPr>
          <w:rFonts w:ascii="宋体" w:hAnsi="宋体"/>
          <w:sz w:val="24"/>
        </w:rPr>
      </w:pPr>
      <w:bookmarkStart w:id="150"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150"/>
    </w:p>
    <w:p w14:paraId="03FDDF4D">
      <w:pPr>
        <w:pStyle w:val="21"/>
        <w:numPr>
          <w:ilvl w:val="0"/>
          <w:numId w:val="28"/>
        </w:numPr>
        <w:ind w:left="845" w:hanging="425" w:firstLineChars="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14:paraId="61171C5C">
      <w:pPr>
        <w:pStyle w:val="21"/>
        <w:numPr>
          <w:ilvl w:val="0"/>
          <w:numId w:val="28"/>
        </w:numPr>
        <w:ind w:left="845" w:hanging="425" w:firstLineChars="0"/>
      </w:pPr>
      <w:r>
        <w:rPr>
          <w:rFonts w:hint="eastAsia"/>
        </w:rPr>
        <w:t>统一性原则：评标委员会将按照统一的评标原则和评标办法，用同一标准进行评审。</w:t>
      </w:r>
    </w:p>
    <w:p w14:paraId="5C0D3BEE">
      <w:pPr>
        <w:pStyle w:val="21"/>
        <w:numPr>
          <w:ilvl w:val="0"/>
          <w:numId w:val="28"/>
        </w:numPr>
        <w:ind w:left="845" w:hanging="425" w:firstLineChars="0"/>
      </w:pPr>
      <w:r>
        <w:rPr>
          <w:rFonts w:hint="eastAsia"/>
        </w:rPr>
        <w:t>独立性原则：评标工作在评标委员会内部独立进行，不受外界任何因素的干扰和影响。评标委员会成员对出具的评审意见承担个人责任。</w:t>
      </w:r>
    </w:p>
    <w:p w14:paraId="7B8F0353">
      <w:pPr>
        <w:pStyle w:val="21"/>
        <w:numPr>
          <w:ilvl w:val="0"/>
          <w:numId w:val="28"/>
        </w:numPr>
        <w:ind w:left="845" w:hanging="425" w:firstLineChars="0"/>
      </w:pPr>
      <w:r>
        <w:rPr>
          <w:rFonts w:hint="eastAsia"/>
        </w:rPr>
        <w:t>保密性原则：招标人应当采取必要的措施，保证评标在严格保密的情况下进行。</w:t>
      </w:r>
    </w:p>
    <w:p w14:paraId="03BB77E8">
      <w:pPr>
        <w:pStyle w:val="20"/>
        <w:numPr>
          <w:ilvl w:val="0"/>
          <w:numId w:val="26"/>
        </w:numPr>
        <w:spacing w:beforeLines="0" w:afterLines="0"/>
        <w:ind w:left="425" w:hanging="425" w:firstLineChars="0"/>
      </w:pPr>
      <w:bookmarkStart w:id="151" w:name="_Toc26360"/>
      <w:bookmarkStart w:id="152" w:name="_Toc7868"/>
      <w:bookmarkStart w:id="153" w:name="_Toc129697472"/>
      <w:r>
        <w:rPr>
          <w:rFonts w:hint="eastAsia"/>
        </w:rPr>
        <w:t>出现下列情形之一，招标人有权否决所有投标人的投标，并终止招标</w:t>
      </w:r>
      <w:bookmarkEnd w:id="151"/>
      <w:bookmarkEnd w:id="152"/>
      <w:bookmarkEnd w:id="153"/>
    </w:p>
    <w:p w14:paraId="22F7BC19">
      <w:pPr>
        <w:pStyle w:val="20"/>
        <w:numPr>
          <w:ilvl w:val="0"/>
          <w:numId w:val="29"/>
        </w:numPr>
        <w:spacing w:beforeLines="0" w:afterLines="0"/>
        <w:ind w:left="845" w:hanging="425" w:firstLineChars="0"/>
      </w:pPr>
      <w:bookmarkStart w:id="154" w:name="_Toc27893"/>
      <w:bookmarkStart w:id="155" w:name="_Toc129697473"/>
      <w:bookmarkStart w:id="156" w:name="_Toc5950"/>
      <w:r>
        <w:rPr>
          <w:rFonts w:hint="eastAsia"/>
        </w:rPr>
        <w:t>符合条件的投标人或者对招标文件做实质响应的投标人不足三家的。</w:t>
      </w:r>
    </w:p>
    <w:p w14:paraId="78F9C1EA">
      <w:pPr>
        <w:pStyle w:val="20"/>
        <w:numPr>
          <w:ilvl w:val="0"/>
          <w:numId w:val="29"/>
        </w:numPr>
        <w:spacing w:beforeLines="0" w:afterLines="0"/>
        <w:ind w:left="845" w:hanging="425" w:firstLineChars="0"/>
      </w:pPr>
      <w:r>
        <w:rPr>
          <w:rFonts w:hint="eastAsia"/>
        </w:rPr>
        <w:t>出现影响</w:t>
      </w:r>
      <w:r>
        <w:rPr>
          <w:rFonts w:hint="eastAsia"/>
          <w:lang w:val="en-US" w:eastAsia="zh-CN"/>
        </w:rPr>
        <w:t>招标</w:t>
      </w:r>
      <w:r>
        <w:rPr>
          <w:rFonts w:hint="eastAsia"/>
        </w:rPr>
        <w:t>公正的违法、违规行为的；</w:t>
      </w:r>
    </w:p>
    <w:p w14:paraId="72729B45">
      <w:pPr>
        <w:pStyle w:val="20"/>
        <w:numPr>
          <w:ilvl w:val="0"/>
          <w:numId w:val="29"/>
        </w:numPr>
        <w:spacing w:beforeLines="0" w:afterLines="0"/>
        <w:ind w:left="845" w:hanging="425" w:firstLineChars="0"/>
      </w:pPr>
      <w:r>
        <w:rPr>
          <w:rFonts w:hint="eastAsia"/>
        </w:rPr>
        <w:t>因重大变故，</w:t>
      </w:r>
      <w:r>
        <w:rPr>
          <w:rFonts w:hint="eastAsia"/>
          <w:lang w:val="en-US" w:eastAsia="zh-CN"/>
        </w:rPr>
        <w:t>招标</w:t>
      </w:r>
      <w:r>
        <w:rPr>
          <w:rFonts w:hint="eastAsia"/>
        </w:rPr>
        <w:t>任务取消的；</w:t>
      </w:r>
    </w:p>
    <w:p w14:paraId="511E5EC6">
      <w:pPr>
        <w:pStyle w:val="20"/>
        <w:numPr>
          <w:ilvl w:val="0"/>
          <w:numId w:val="29"/>
        </w:numPr>
        <w:spacing w:beforeLines="0" w:afterLines="0"/>
        <w:ind w:left="845" w:hanging="425" w:firstLineChars="0"/>
      </w:pPr>
      <w:r>
        <w:rPr>
          <w:rFonts w:hint="eastAsia"/>
        </w:rPr>
        <w:t>评标委员会经评审，认为所有投标都不符合招标文件要求的。</w:t>
      </w:r>
    </w:p>
    <w:p w14:paraId="4EE9C7C6">
      <w:pPr>
        <w:pStyle w:val="20"/>
        <w:numPr>
          <w:ilvl w:val="0"/>
          <w:numId w:val="29"/>
        </w:numPr>
        <w:spacing w:beforeLines="0" w:afterLines="0"/>
        <w:ind w:left="845" w:hanging="425" w:firstLineChars="0"/>
      </w:pPr>
      <w:r>
        <w:rPr>
          <w:rFonts w:hint="eastAsia"/>
        </w:rPr>
        <w:t>招标人认为其他应终止招标的情形。</w:t>
      </w:r>
    </w:p>
    <w:p w14:paraId="4047DA0D">
      <w:pPr>
        <w:pStyle w:val="20"/>
        <w:numPr>
          <w:ilvl w:val="0"/>
          <w:numId w:val="26"/>
        </w:numPr>
        <w:spacing w:beforeLines="0" w:afterLines="0"/>
        <w:ind w:left="425" w:hanging="425" w:firstLineChars="0"/>
      </w:pP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154"/>
      <w:bookmarkEnd w:id="155"/>
      <w:bookmarkEnd w:id="156"/>
    </w:p>
    <w:p w14:paraId="376D27EC">
      <w:pPr>
        <w:numPr>
          <w:ilvl w:val="0"/>
          <w:numId w:val="30"/>
        </w:numPr>
        <w:spacing w:line="360" w:lineRule="auto"/>
        <w:ind w:left="845" w:hanging="425" w:firstLineChars="0"/>
        <w:rPr>
          <w:kern w:val="0"/>
          <w:sz w:val="24"/>
          <w:szCs w:val="20"/>
        </w:rPr>
      </w:pPr>
      <w:r>
        <w:rPr>
          <w:rFonts w:hint="eastAsia"/>
          <w:kern w:val="0"/>
          <w:sz w:val="24"/>
          <w:szCs w:val="20"/>
        </w:rPr>
        <w:t>投标人提供的有关资格、资质证明文件不合格、不真实或提供虚假投标材料；</w:t>
      </w:r>
    </w:p>
    <w:p w14:paraId="5BFCEAEE">
      <w:pPr>
        <w:numPr>
          <w:ilvl w:val="0"/>
          <w:numId w:val="30"/>
        </w:numPr>
        <w:spacing w:line="360" w:lineRule="auto"/>
        <w:ind w:left="845" w:hanging="425" w:firstLineChars="0"/>
        <w:rPr>
          <w:kern w:val="0"/>
          <w:sz w:val="24"/>
          <w:szCs w:val="20"/>
        </w:rPr>
      </w:pPr>
      <w:r>
        <w:rPr>
          <w:rFonts w:hint="eastAsia"/>
          <w:kern w:val="0"/>
          <w:sz w:val="24"/>
          <w:szCs w:val="20"/>
        </w:rPr>
        <w:t>投标人在报价有效期内撤回投标；</w:t>
      </w:r>
    </w:p>
    <w:p w14:paraId="123E56C2">
      <w:pPr>
        <w:numPr>
          <w:ilvl w:val="0"/>
          <w:numId w:val="30"/>
        </w:numPr>
        <w:spacing w:line="360" w:lineRule="auto"/>
        <w:ind w:left="845" w:hanging="425" w:firstLineChars="0"/>
        <w:rPr>
          <w:kern w:val="0"/>
          <w:sz w:val="24"/>
          <w:szCs w:val="20"/>
        </w:rPr>
      </w:pPr>
      <w:r>
        <w:rPr>
          <w:rFonts w:hint="eastAsia"/>
          <w:kern w:val="0"/>
          <w:sz w:val="24"/>
          <w:szCs w:val="20"/>
        </w:rPr>
        <w:t>在整个评标过程中，投标人有企图影响评标结果公正性的任何活动；</w:t>
      </w:r>
    </w:p>
    <w:p w14:paraId="5BD46841">
      <w:pPr>
        <w:numPr>
          <w:ilvl w:val="0"/>
          <w:numId w:val="30"/>
        </w:numPr>
        <w:spacing w:line="360" w:lineRule="auto"/>
        <w:ind w:left="845" w:hanging="425" w:firstLineChars="0"/>
        <w:rPr>
          <w:kern w:val="0"/>
          <w:sz w:val="24"/>
          <w:szCs w:val="20"/>
        </w:rPr>
      </w:pPr>
      <w:r>
        <w:rPr>
          <w:rFonts w:hint="eastAsia"/>
          <w:kern w:val="0"/>
          <w:sz w:val="24"/>
          <w:szCs w:val="20"/>
        </w:rPr>
        <w:t>投标人以任何方式诋毁其他投标人；</w:t>
      </w:r>
    </w:p>
    <w:p w14:paraId="70D9C180">
      <w:pPr>
        <w:numPr>
          <w:ilvl w:val="0"/>
          <w:numId w:val="30"/>
        </w:numPr>
        <w:spacing w:line="360" w:lineRule="auto"/>
        <w:ind w:left="845" w:hanging="425" w:firstLineChars="0"/>
        <w:rPr>
          <w:kern w:val="0"/>
          <w:sz w:val="24"/>
          <w:szCs w:val="20"/>
        </w:rPr>
      </w:pPr>
      <w:r>
        <w:rPr>
          <w:rFonts w:hint="eastAsia"/>
          <w:kern w:val="0"/>
          <w:sz w:val="24"/>
          <w:szCs w:val="20"/>
        </w:rPr>
        <w:t>投标人串通投标；</w:t>
      </w:r>
    </w:p>
    <w:p w14:paraId="773C2E08">
      <w:pPr>
        <w:numPr>
          <w:ilvl w:val="0"/>
          <w:numId w:val="30"/>
        </w:numPr>
        <w:spacing w:line="360" w:lineRule="auto"/>
        <w:ind w:left="845" w:hanging="425" w:firstLineChars="0"/>
        <w:rPr>
          <w:kern w:val="0"/>
          <w:sz w:val="24"/>
          <w:szCs w:val="20"/>
        </w:rPr>
      </w:pPr>
      <w:r>
        <w:rPr>
          <w:rFonts w:hint="eastAsia"/>
          <w:kern w:val="0"/>
          <w:sz w:val="24"/>
          <w:szCs w:val="20"/>
        </w:rPr>
        <w:t>以他人名义投标或者以其他方式弄虚作假，骗取中标的；</w:t>
      </w:r>
    </w:p>
    <w:p w14:paraId="0AF82DEA">
      <w:pPr>
        <w:numPr>
          <w:ilvl w:val="0"/>
          <w:numId w:val="30"/>
        </w:numPr>
        <w:spacing w:line="360" w:lineRule="auto"/>
        <w:ind w:left="845" w:hanging="425" w:firstLineChars="0"/>
        <w:rPr>
          <w:kern w:val="0"/>
          <w:sz w:val="24"/>
          <w:szCs w:val="20"/>
        </w:rPr>
      </w:pPr>
      <w:r>
        <w:rPr>
          <w:rFonts w:hint="eastAsia"/>
          <w:kern w:val="0"/>
          <w:sz w:val="24"/>
          <w:szCs w:val="20"/>
          <w:lang w:eastAsia="zh-CN"/>
        </w:rPr>
        <w:t>中标单位</w:t>
      </w:r>
      <w:r>
        <w:rPr>
          <w:rFonts w:hint="eastAsia"/>
          <w:kern w:val="0"/>
          <w:sz w:val="24"/>
          <w:szCs w:val="20"/>
        </w:rPr>
        <w:t>不按规定签订合同；</w:t>
      </w:r>
    </w:p>
    <w:p w14:paraId="159E6A20">
      <w:pPr>
        <w:numPr>
          <w:ilvl w:val="0"/>
          <w:numId w:val="30"/>
        </w:numPr>
        <w:spacing w:line="360" w:lineRule="auto"/>
        <w:ind w:left="845" w:hanging="425" w:firstLineChars="0"/>
        <w:rPr>
          <w:kern w:val="0"/>
          <w:sz w:val="24"/>
          <w:szCs w:val="20"/>
        </w:rPr>
      </w:pPr>
      <w:r>
        <w:rPr>
          <w:rFonts w:hint="eastAsia"/>
          <w:kern w:val="0"/>
          <w:sz w:val="24"/>
          <w:szCs w:val="20"/>
        </w:rPr>
        <w:t>不同</w:t>
      </w:r>
      <w:r>
        <w:rPr>
          <w:rFonts w:hint="eastAsia"/>
          <w:kern w:val="0"/>
          <w:sz w:val="24"/>
          <w:szCs w:val="20"/>
          <w:lang w:eastAsia="zh-CN"/>
        </w:rPr>
        <w:t>投标人</w:t>
      </w:r>
      <w:r>
        <w:rPr>
          <w:rFonts w:hint="eastAsia"/>
          <w:kern w:val="0"/>
          <w:sz w:val="24"/>
          <w:szCs w:val="20"/>
        </w:rPr>
        <w:t>负责人为同一人或存在管理关系的；</w:t>
      </w:r>
    </w:p>
    <w:p w14:paraId="4559B318">
      <w:pPr>
        <w:numPr>
          <w:ilvl w:val="0"/>
          <w:numId w:val="30"/>
        </w:numPr>
        <w:spacing w:line="360" w:lineRule="auto"/>
        <w:ind w:left="845" w:hanging="425" w:firstLineChars="0"/>
        <w:rPr>
          <w:kern w:val="0"/>
          <w:sz w:val="24"/>
          <w:szCs w:val="20"/>
        </w:rPr>
      </w:pPr>
      <w:r>
        <w:rPr>
          <w:rFonts w:hint="eastAsia"/>
          <w:kern w:val="0"/>
          <w:sz w:val="24"/>
          <w:szCs w:val="20"/>
        </w:rPr>
        <w:t>投标人被举报、检举，并经招标方查实无误的；</w:t>
      </w:r>
    </w:p>
    <w:p w14:paraId="2FACA48D">
      <w:pPr>
        <w:pStyle w:val="6"/>
        <w:numPr>
          <w:ilvl w:val="0"/>
          <w:numId w:val="30"/>
        </w:numPr>
        <w:spacing w:line="360" w:lineRule="auto"/>
        <w:ind w:left="845" w:hanging="425" w:firstLineChars="0"/>
      </w:pPr>
      <w:r>
        <w:rPr>
          <w:rFonts w:hint="eastAsia"/>
          <w:sz w:val="24"/>
          <w:szCs w:val="20"/>
        </w:rPr>
        <w:t>技术标出现报价的；</w:t>
      </w:r>
    </w:p>
    <w:p w14:paraId="7CE951BD">
      <w:pPr>
        <w:pStyle w:val="6"/>
        <w:numPr>
          <w:ilvl w:val="0"/>
          <w:numId w:val="30"/>
        </w:numPr>
        <w:spacing w:line="360" w:lineRule="auto"/>
        <w:ind w:left="845" w:hanging="425" w:firstLineChars="0"/>
        <w:rPr>
          <w:color w:val="FF0000"/>
        </w:rPr>
      </w:pPr>
      <w:r>
        <w:rPr>
          <w:rFonts w:hint="eastAsia"/>
          <w:sz w:val="24"/>
          <w:szCs w:val="20"/>
        </w:rPr>
        <w:t>不同投标人投标文件异常一致或报价程差异性变化；</w:t>
      </w:r>
    </w:p>
    <w:p w14:paraId="06DBAF5C">
      <w:pPr>
        <w:numPr>
          <w:ilvl w:val="0"/>
          <w:numId w:val="30"/>
        </w:numPr>
        <w:spacing w:line="360" w:lineRule="auto"/>
        <w:ind w:left="845" w:hanging="425" w:firstLineChars="0"/>
        <w:rPr>
          <w:kern w:val="0"/>
          <w:sz w:val="24"/>
          <w:szCs w:val="20"/>
        </w:rPr>
      </w:pPr>
      <w:r>
        <w:rPr>
          <w:rFonts w:hint="eastAsia"/>
          <w:kern w:val="0"/>
          <w:sz w:val="24"/>
          <w:szCs w:val="20"/>
        </w:rPr>
        <w:t>法律、法规规定的其他情况。</w:t>
      </w:r>
    </w:p>
    <w:p w14:paraId="4A2744CE">
      <w:pPr>
        <w:pStyle w:val="6"/>
      </w:pPr>
    </w:p>
    <w:p w14:paraId="0BDD4C99"/>
    <w:p w14:paraId="7D978B0C"/>
    <w:p w14:paraId="29B9500C">
      <w:pPr>
        <w:pStyle w:val="15"/>
        <w:ind w:left="420"/>
      </w:pPr>
      <w:bookmarkStart w:id="157" w:name="_Toc451"/>
      <w:bookmarkStart w:id="158" w:name="_Toc17296"/>
      <w:bookmarkStart w:id="159" w:name="_Toc20924"/>
      <w:bookmarkStart w:id="160" w:name="_Toc14379"/>
      <w:bookmarkStart w:id="161" w:name="_Toc9606"/>
      <w:bookmarkStart w:id="162" w:name="_Toc500420293"/>
      <w:bookmarkStart w:id="163" w:name="_Toc500420375"/>
      <w:r>
        <w:rPr>
          <w:rFonts w:hint="eastAsia"/>
        </w:rPr>
        <w:t>招标项目内容及运输费用标准</w:t>
      </w:r>
      <w:bookmarkEnd w:id="157"/>
      <w:bookmarkEnd w:id="158"/>
      <w:bookmarkEnd w:id="159"/>
      <w:bookmarkEnd w:id="160"/>
      <w:bookmarkEnd w:id="161"/>
    </w:p>
    <w:p w14:paraId="777307FA">
      <w:pPr>
        <w:pStyle w:val="3"/>
        <w:numPr>
          <w:ilvl w:val="0"/>
          <w:numId w:val="0"/>
        </w:numPr>
        <w:spacing w:before="0" w:beforeLines="0" w:line="360" w:lineRule="auto"/>
        <w:ind w:left="0" w:leftChars="0" w:firstLine="562" w:firstLineChars="200"/>
        <w:rPr>
          <w:sz w:val="22"/>
          <w:szCs w:val="22"/>
        </w:rPr>
      </w:pPr>
      <w:bookmarkStart w:id="164" w:name="_Toc20332"/>
      <w:bookmarkStart w:id="165" w:name="_Toc12948"/>
      <w:bookmarkStart w:id="166" w:name="_Toc29707"/>
      <w:bookmarkStart w:id="167" w:name="_Toc32438"/>
      <w:bookmarkStart w:id="168" w:name="_Toc11209"/>
      <w:r>
        <w:rPr>
          <w:rFonts w:hint="eastAsia"/>
          <w:sz w:val="28"/>
          <w:szCs w:val="28"/>
        </w:rPr>
        <w:t>3.1项目内容</w:t>
      </w:r>
      <w:bookmarkEnd w:id="164"/>
      <w:bookmarkEnd w:id="165"/>
      <w:bookmarkEnd w:id="166"/>
      <w:bookmarkEnd w:id="167"/>
      <w:bookmarkEnd w:id="168"/>
    </w:p>
    <w:p w14:paraId="4AE3E3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rPr>
        <w:t>中国重</w:t>
      </w:r>
      <w:r>
        <w:rPr>
          <w:rFonts w:hint="eastAsia" w:ascii="宋体" w:hAnsi="宋体" w:cs="宋体"/>
          <w:color w:val="000000"/>
          <w:sz w:val="24"/>
          <w:szCs w:val="24"/>
        </w:rPr>
        <w:t>汽集团销售的</w:t>
      </w:r>
      <w:r>
        <w:rPr>
          <w:rFonts w:hint="eastAsia" w:ascii="宋体" w:hAnsi="宋体" w:cs="宋体"/>
          <w:color w:val="000000"/>
          <w:sz w:val="24"/>
          <w:szCs w:val="24"/>
          <w:lang w:val="en-US" w:eastAsia="zh-CN"/>
        </w:rPr>
        <w:t>轻型车在</w:t>
      </w:r>
      <w:r>
        <w:rPr>
          <w:rFonts w:hint="eastAsia" w:ascii="宋体" w:hAnsi="宋体" w:cs="宋体"/>
          <w:color w:val="000000"/>
          <w:sz w:val="24"/>
          <w:szCs w:val="24"/>
        </w:rPr>
        <w:t>国内运输</w:t>
      </w:r>
      <w:r>
        <w:rPr>
          <w:rFonts w:hint="eastAsia" w:ascii="宋体" w:hAnsi="宋体" w:cs="宋体"/>
          <w:color w:val="000000"/>
          <w:sz w:val="24"/>
          <w:szCs w:val="24"/>
          <w:lang w:val="en-US" w:eastAsia="zh-CN"/>
        </w:rPr>
        <w:t>环节</w:t>
      </w:r>
      <w:r>
        <w:rPr>
          <w:rFonts w:hint="eastAsia" w:ascii="宋体" w:hAnsi="宋体" w:cs="宋体"/>
          <w:color w:val="000000"/>
          <w:sz w:val="24"/>
          <w:szCs w:val="24"/>
        </w:rPr>
        <w:t>；</w:t>
      </w:r>
      <w:r>
        <w:rPr>
          <w:rFonts w:hint="eastAsia" w:ascii="宋体" w:hAnsi="宋体" w:cs="宋体"/>
          <w:color w:val="000000"/>
          <w:sz w:val="24"/>
          <w:szCs w:val="24"/>
          <w:lang w:val="en-US" w:eastAsia="zh-CN"/>
        </w:rPr>
        <w:t>实验</w:t>
      </w:r>
      <w:r>
        <w:rPr>
          <w:rFonts w:hint="eastAsia" w:ascii="宋体" w:hAnsi="宋体" w:cs="宋体"/>
          <w:color w:val="000000"/>
          <w:sz w:val="24"/>
          <w:szCs w:val="24"/>
        </w:rPr>
        <w:t>车辆、参展车辆以及区间调拨车辆的运输。</w:t>
      </w:r>
    </w:p>
    <w:p w14:paraId="6F1A9E47">
      <w:pPr>
        <w:pStyle w:val="3"/>
        <w:numPr>
          <w:ilvl w:val="0"/>
          <w:numId w:val="0"/>
        </w:numPr>
        <w:spacing w:before="120" w:line="360" w:lineRule="auto"/>
        <w:ind w:firstLine="548" w:firstLineChars="195"/>
      </w:pPr>
      <w:bookmarkStart w:id="169" w:name="_Toc25878"/>
      <w:bookmarkStart w:id="170" w:name="_Toc30575"/>
      <w:bookmarkStart w:id="171" w:name="_Toc9825"/>
      <w:bookmarkStart w:id="172" w:name="_Toc32191"/>
      <w:bookmarkStart w:id="173" w:name="_Toc13864"/>
      <w:r>
        <w:rPr>
          <w:rFonts w:hint="eastAsia"/>
          <w:sz w:val="28"/>
          <w:szCs w:val="28"/>
        </w:rPr>
        <w:t>3.2项目</w:t>
      </w:r>
      <w:r>
        <w:rPr>
          <w:rFonts w:hint="eastAsia"/>
          <w:sz w:val="28"/>
          <w:szCs w:val="28"/>
          <w:lang w:val="en-US" w:eastAsia="zh-CN"/>
        </w:rPr>
        <w:t>标段</w:t>
      </w:r>
      <w:r>
        <w:rPr>
          <w:rFonts w:hint="eastAsia"/>
          <w:sz w:val="28"/>
          <w:szCs w:val="28"/>
        </w:rPr>
        <w:t>划分</w:t>
      </w:r>
      <w:bookmarkEnd w:id="169"/>
      <w:bookmarkEnd w:id="170"/>
      <w:bookmarkEnd w:id="171"/>
      <w:bookmarkEnd w:id="172"/>
      <w:bookmarkEnd w:id="173"/>
    </w:p>
    <w:p w14:paraId="004FCF1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本次招标</w:t>
      </w:r>
      <w:r>
        <w:rPr>
          <w:rFonts w:hint="eastAsia" w:ascii="宋体" w:hAnsi="宋体" w:cs="宋体"/>
          <w:color w:val="000000"/>
          <w:sz w:val="24"/>
          <w:szCs w:val="24"/>
        </w:rPr>
        <w:t>项目划分</w:t>
      </w:r>
      <w:r>
        <w:rPr>
          <w:rFonts w:hint="eastAsia" w:ascii="宋体" w:hAnsi="宋体" w:cs="宋体"/>
          <w:color w:val="000000"/>
          <w:sz w:val="24"/>
          <w:szCs w:val="24"/>
          <w:lang w:val="en-US" w:eastAsia="zh-CN"/>
        </w:rPr>
        <w:t>为如下3个标段</w:t>
      </w:r>
      <w:r>
        <w:rPr>
          <w:rFonts w:hint="eastAsia" w:ascii="宋体" w:hAnsi="宋体" w:cs="宋体"/>
          <w:color w:val="000000"/>
          <w:sz w:val="24"/>
          <w:szCs w:val="24"/>
        </w:rPr>
        <w:t>：</w:t>
      </w:r>
    </w:p>
    <w:tbl>
      <w:tblPr>
        <w:tblStyle w:val="16"/>
        <w:tblpPr w:leftFromText="180" w:rightFromText="180" w:vertAnchor="text" w:horzAnchor="page" w:tblpX="1901" w:tblpY="149"/>
        <w:tblOverlap w:val="never"/>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8"/>
        <w:gridCol w:w="1898"/>
        <w:gridCol w:w="1090"/>
        <w:gridCol w:w="1904"/>
        <w:gridCol w:w="1561"/>
        <w:gridCol w:w="1364"/>
      </w:tblGrid>
      <w:tr w14:paraId="4949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118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标段</w:t>
            </w:r>
            <w:r>
              <w:rPr>
                <w:rFonts w:hint="eastAsia" w:ascii="宋体" w:hAnsi="宋体" w:cs="宋体"/>
                <w:b/>
                <w:bCs/>
                <w:i w:val="0"/>
                <w:iCs w:val="0"/>
                <w:color w:val="000000"/>
                <w:kern w:val="0"/>
                <w:sz w:val="21"/>
                <w:szCs w:val="21"/>
                <w:u w:val="none"/>
                <w:lang w:val="en-US" w:eastAsia="zh-CN" w:bidi="ar"/>
              </w:rPr>
              <w:t>序号</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10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标段</w:t>
            </w:r>
            <w:r>
              <w:rPr>
                <w:rFonts w:hint="eastAsia" w:ascii="宋体" w:hAnsi="宋体" w:cs="宋体"/>
                <w:b/>
                <w:bCs/>
                <w:i w:val="0"/>
                <w:iCs w:val="0"/>
                <w:color w:val="000000"/>
                <w:kern w:val="0"/>
                <w:sz w:val="21"/>
                <w:szCs w:val="21"/>
                <w:u w:val="none"/>
                <w:lang w:val="en-US" w:eastAsia="zh-CN" w:bidi="ar"/>
              </w:rPr>
              <w:t>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B0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起运地</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556">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主要</w:t>
            </w:r>
            <w:r>
              <w:rPr>
                <w:rFonts w:hint="eastAsia" w:ascii="宋体" w:hAnsi="宋体" w:eastAsia="宋体" w:cs="宋体"/>
                <w:b/>
                <w:bCs/>
                <w:i w:val="0"/>
                <w:iCs w:val="0"/>
                <w:color w:val="000000"/>
                <w:kern w:val="0"/>
                <w:sz w:val="21"/>
                <w:szCs w:val="21"/>
                <w:u w:val="none"/>
                <w:lang w:val="en-US" w:eastAsia="zh-CN" w:bidi="ar"/>
              </w:rPr>
              <w:t>装载车型</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FF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运输方式</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FE1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满载数量</w:t>
            </w:r>
          </w:p>
        </w:tc>
      </w:tr>
      <w:tr w14:paraId="690E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7" w:type="pct"/>
            <w:tcBorders>
              <w:top w:val="single" w:color="000000" w:sz="4" w:space="0"/>
              <w:left w:val="single" w:color="000000" w:sz="4" w:space="0"/>
              <w:bottom w:val="nil"/>
              <w:right w:val="single" w:color="000000" w:sz="4" w:space="0"/>
            </w:tcBorders>
            <w:shd w:val="clear" w:color="auto" w:fill="auto"/>
            <w:noWrap/>
            <w:vAlign w:val="center"/>
          </w:tcPr>
          <w:p w14:paraId="43DE0B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济南皮卡标段</w:t>
            </w:r>
          </w:p>
        </w:tc>
        <w:tc>
          <w:tcPr>
            <w:tcW w:w="607" w:type="pct"/>
            <w:tcBorders>
              <w:top w:val="single" w:color="000000" w:sz="4" w:space="0"/>
              <w:left w:val="single" w:color="000000" w:sz="4" w:space="0"/>
              <w:bottom w:val="nil"/>
              <w:right w:val="single" w:color="000000" w:sz="4" w:space="0"/>
            </w:tcBorders>
            <w:shd w:val="clear" w:color="auto" w:fill="auto"/>
            <w:noWrap/>
            <w:vAlign w:val="center"/>
          </w:tcPr>
          <w:p w14:paraId="55FB6E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章丘</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4D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中置轴</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383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7台</w:t>
            </w:r>
          </w:p>
        </w:tc>
      </w:tr>
      <w:tr w14:paraId="2F5A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0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pct"/>
            <w:tcBorders>
              <w:top w:val="single" w:color="000000" w:sz="4" w:space="0"/>
              <w:left w:val="single" w:color="000000" w:sz="4" w:space="0"/>
              <w:bottom w:val="nil"/>
              <w:right w:val="single" w:color="000000" w:sz="4" w:space="0"/>
            </w:tcBorders>
            <w:shd w:val="clear" w:color="auto" w:fill="auto"/>
            <w:noWrap/>
            <w:vAlign w:val="center"/>
          </w:tcPr>
          <w:p w14:paraId="35D51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重庆SUV标段</w:t>
            </w:r>
          </w:p>
        </w:tc>
        <w:tc>
          <w:tcPr>
            <w:tcW w:w="607" w:type="pct"/>
            <w:tcBorders>
              <w:top w:val="single" w:color="000000" w:sz="4" w:space="0"/>
              <w:left w:val="single" w:color="000000" w:sz="4" w:space="0"/>
              <w:bottom w:val="nil"/>
              <w:right w:val="single" w:color="000000" w:sz="4" w:space="0"/>
            </w:tcBorders>
            <w:shd w:val="clear" w:color="auto" w:fill="auto"/>
            <w:noWrap/>
            <w:vAlign w:val="center"/>
          </w:tcPr>
          <w:p w14:paraId="1FF69D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3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SUV</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5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中置轴</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11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green"/>
                <w:u w:val="none"/>
                <w:lang w:val="en-US" w:eastAsia="zh-CN" w:bidi="ar"/>
              </w:rPr>
              <w:t>8台</w:t>
            </w:r>
          </w:p>
        </w:tc>
      </w:tr>
      <w:tr w14:paraId="7118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4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1C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重庆轻客标段</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0F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6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17.5m板车</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1EE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3台</w:t>
            </w:r>
          </w:p>
        </w:tc>
      </w:tr>
    </w:tbl>
    <w:p w14:paraId="27EAC6E6">
      <w:pPr>
        <w:numPr>
          <w:ilvl w:val="0"/>
          <w:numId w:val="0"/>
        </w:numPr>
        <w:spacing w:line="360" w:lineRule="auto"/>
        <w:ind w:left="0" w:firstLine="0" w:firstLineChars="0"/>
        <w:rPr>
          <w:rFonts w:hint="default" w:ascii="宋体" w:hAnsi="宋体" w:eastAsia="宋体" w:cs="宋体"/>
          <w:b w:val="0"/>
          <w:bCs w:val="0"/>
          <w:color w:val="000000"/>
          <w:kern w:val="2"/>
          <w:sz w:val="24"/>
          <w:szCs w:val="24"/>
          <w:lang w:val="en-US" w:eastAsia="zh-CN" w:bidi="ar-SA"/>
        </w:rPr>
      </w:pPr>
    </w:p>
    <w:p w14:paraId="1918AE6B">
      <w:pPr>
        <w:numPr>
          <w:ilvl w:val="0"/>
          <w:numId w:val="0"/>
        </w:numPr>
        <w:spacing w:line="360" w:lineRule="auto"/>
        <w:ind w:left="425" w:hanging="425" w:firstLineChars="0"/>
        <w:rPr>
          <w:rFonts w:hint="default" w:ascii="宋体" w:hAnsi="宋体" w:eastAsia="宋体" w:cs="宋体"/>
          <w:b/>
          <w:bCs/>
          <w:color w:val="000000"/>
          <w:sz w:val="24"/>
          <w:szCs w:val="24"/>
          <w:lang w:val="en-US" w:eastAsia="zh-CN"/>
        </w:rPr>
      </w:pPr>
      <w:r>
        <w:rPr>
          <w:rFonts w:hint="eastAsia" w:ascii="宋体" w:hAnsi="宋体" w:cs="宋体"/>
          <w:b w:val="0"/>
          <w:bCs w:val="0"/>
          <w:color w:val="000000"/>
          <w:kern w:val="2"/>
          <w:sz w:val="24"/>
          <w:szCs w:val="24"/>
          <w:lang w:val="en-US" w:eastAsia="zh-CN" w:bidi="ar-SA"/>
        </w:rPr>
        <w:t>1</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济南皮卡标段</w:t>
      </w:r>
      <w:r>
        <w:rPr>
          <w:rFonts w:hint="eastAsia" w:ascii="宋体" w:hAnsi="宋体" w:cs="宋体"/>
          <w:b/>
          <w:bCs/>
          <w:color w:val="000000"/>
          <w:sz w:val="24"/>
          <w:szCs w:val="24"/>
        </w:rPr>
        <w:t>：</w:t>
      </w:r>
      <w:r>
        <w:rPr>
          <w:rFonts w:hint="eastAsia" w:ascii="宋体" w:hAnsi="宋体" w:cs="宋体"/>
          <w:color w:val="000000"/>
          <w:sz w:val="24"/>
          <w:szCs w:val="24"/>
        </w:rPr>
        <w:t>中国重汽集团济南</w:t>
      </w:r>
      <w:r>
        <w:rPr>
          <w:rFonts w:hint="eastAsia" w:ascii="宋体" w:hAnsi="宋体" w:cs="宋体"/>
          <w:color w:val="000000"/>
          <w:sz w:val="24"/>
          <w:szCs w:val="24"/>
          <w:lang w:val="en-US" w:eastAsia="zh-CN"/>
        </w:rPr>
        <w:t>轻卡制造公司生产的皮卡</w:t>
      </w:r>
      <w:r>
        <w:rPr>
          <w:rFonts w:hint="eastAsia" w:ascii="宋体" w:hAnsi="宋体" w:cs="宋体"/>
          <w:color w:val="000000"/>
          <w:sz w:val="24"/>
          <w:szCs w:val="24"/>
          <w:lang w:eastAsia="zh-CN"/>
        </w:rPr>
        <w:t>；</w:t>
      </w:r>
    </w:p>
    <w:p w14:paraId="67DD053F">
      <w:pPr>
        <w:numPr>
          <w:ilvl w:val="0"/>
          <w:numId w:val="0"/>
        </w:numPr>
        <w:spacing w:line="360" w:lineRule="auto"/>
        <w:ind w:left="425" w:hanging="425" w:firstLineChars="0"/>
        <w:rPr>
          <w:rFonts w:hint="eastAsia" w:ascii="宋体" w:hAnsi="宋体" w:cs="宋体"/>
          <w:color w:val="000000"/>
          <w:sz w:val="24"/>
          <w:szCs w:val="24"/>
          <w:lang w:eastAsia="zh-CN"/>
        </w:rPr>
      </w:pPr>
      <w:r>
        <w:rPr>
          <w:rFonts w:hint="eastAsia" w:ascii="宋体" w:hAnsi="宋体" w:cs="宋体"/>
          <w:b w:val="0"/>
          <w:bCs w:val="0"/>
          <w:color w:val="000000"/>
          <w:kern w:val="2"/>
          <w:sz w:val="24"/>
          <w:szCs w:val="24"/>
          <w:lang w:val="en-US" w:eastAsia="zh-CN" w:bidi="ar-SA"/>
        </w:rPr>
        <w:t>2</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重庆SUV标段</w:t>
      </w:r>
      <w:r>
        <w:rPr>
          <w:rFonts w:hint="eastAsia" w:ascii="宋体" w:hAnsi="宋体" w:cs="宋体"/>
          <w:b/>
          <w:bCs/>
          <w:color w:val="000000"/>
          <w:sz w:val="24"/>
          <w:szCs w:val="24"/>
        </w:rPr>
        <w:t xml:space="preserve">: </w:t>
      </w:r>
      <w:r>
        <w:rPr>
          <w:rFonts w:hint="eastAsia" w:ascii="宋体" w:hAnsi="宋体" w:cs="宋体"/>
          <w:color w:val="000000"/>
          <w:sz w:val="24"/>
          <w:szCs w:val="24"/>
        </w:rPr>
        <w:t>中国重汽集团</w:t>
      </w:r>
      <w:r>
        <w:rPr>
          <w:rFonts w:hint="eastAsia" w:ascii="宋体" w:hAnsi="宋体" w:eastAsia="宋体" w:cs="宋体"/>
          <w:b w:val="0"/>
          <w:color w:val="000000"/>
          <w:w w:val="100"/>
          <w:sz w:val="24"/>
          <w:szCs w:val="24"/>
        </w:rPr>
        <w:t>重汽</w:t>
      </w:r>
      <w:r>
        <w:rPr>
          <w:rFonts w:hint="eastAsia" w:ascii="宋体" w:hAnsi="宋体" w:eastAsia="宋体" w:cs="宋体"/>
          <w:b w:val="0"/>
          <w:color w:val="000000"/>
          <w:sz w:val="24"/>
          <w:szCs w:val="24"/>
        </w:rPr>
        <w:t>（重庆）轻型汽车有限公司</w:t>
      </w:r>
      <w:r>
        <w:rPr>
          <w:rFonts w:hint="eastAsia" w:ascii="宋体" w:hAnsi="宋体" w:cs="宋体"/>
          <w:color w:val="000000"/>
          <w:sz w:val="24"/>
          <w:szCs w:val="24"/>
          <w:lang w:val="en-US" w:eastAsia="zh-CN"/>
        </w:rPr>
        <w:t>生产的SUV</w:t>
      </w:r>
      <w:r>
        <w:rPr>
          <w:rFonts w:hint="eastAsia" w:ascii="宋体" w:hAnsi="宋体" w:cs="宋体"/>
          <w:color w:val="000000"/>
          <w:sz w:val="24"/>
          <w:szCs w:val="24"/>
          <w:lang w:eastAsia="zh-CN"/>
        </w:rPr>
        <w:t>；</w:t>
      </w:r>
    </w:p>
    <w:p w14:paraId="45F133B5">
      <w:pPr>
        <w:numPr>
          <w:ilvl w:val="0"/>
          <w:numId w:val="0"/>
        </w:numPr>
        <w:spacing w:line="360" w:lineRule="auto"/>
        <w:ind w:left="425" w:hanging="425" w:firstLineChars="0"/>
        <w:rPr>
          <w:rFonts w:hint="eastAsia" w:ascii="宋体" w:hAnsi="宋体" w:cs="宋体"/>
          <w:color w:val="000000"/>
          <w:sz w:val="24"/>
          <w:szCs w:val="24"/>
          <w:lang w:eastAsia="zh-CN"/>
        </w:rPr>
      </w:pPr>
      <w:r>
        <w:rPr>
          <w:rFonts w:hint="eastAsia" w:ascii="宋体" w:hAnsi="宋体" w:cs="宋体"/>
          <w:b w:val="0"/>
          <w:bCs w:val="0"/>
          <w:color w:val="000000"/>
          <w:kern w:val="2"/>
          <w:sz w:val="24"/>
          <w:szCs w:val="24"/>
          <w:lang w:val="en-US" w:eastAsia="zh-CN" w:bidi="ar-SA"/>
        </w:rPr>
        <w:t>3</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重庆轻客标段</w:t>
      </w:r>
      <w:r>
        <w:rPr>
          <w:rFonts w:hint="eastAsia" w:ascii="宋体" w:hAnsi="宋体" w:cs="宋体"/>
          <w:b/>
          <w:bCs/>
          <w:color w:val="000000"/>
          <w:sz w:val="24"/>
          <w:szCs w:val="24"/>
        </w:rPr>
        <w:t>：</w:t>
      </w:r>
      <w:r>
        <w:rPr>
          <w:rFonts w:hint="eastAsia" w:ascii="宋体" w:hAnsi="宋体" w:cs="宋体"/>
          <w:color w:val="000000"/>
          <w:sz w:val="24"/>
          <w:szCs w:val="24"/>
        </w:rPr>
        <w:t>中国重汽集团</w:t>
      </w:r>
      <w:r>
        <w:rPr>
          <w:rFonts w:hint="eastAsia" w:ascii="宋体" w:hAnsi="宋体" w:eastAsia="宋体" w:cs="宋体"/>
          <w:b w:val="0"/>
          <w:color w:val="000000"/>
          <w:w w:val="100"/>
          <w:sz w:val="24"/>
          <w:szCs w:val="24"/>
        </w:rPr>
        <w:t>重汽</w:t>
      </w:r>
      <w:r>
        <w:rPr>
          <w:rFonts w:hint="eastAsia" w:ascii="宋体" w:hAnsi="宋体" w:eastAsia="宋体" w:cs="宋体"/>
          <w:b w:val="0"/>
          <w:color w:val="000000"/>
          <w:sz w:val="24"/>
          <w:szCs w:val="24"/>
        </w:rPr>
        <w:t>（重庆）轻型汽车有限公司</w:t>
      </w:r>
      <w:r>
        <w:rPr>
          <w:rFonts w:hint="eastAsia" w:ascii="宋体" w:hAnsi="宋体" w:cs="宋体"/>
          <w:color w:val="000000"/>
          <w:sz w:val="24"/>
          <w:szCs w:val="24"/>
          <w:lang w:val="en-US" w:eastAsia="zh-CN"/>
        </w:rPr>
        <w:t>生产的轻客</w:t>
      </w:r>
      <w:r>
        <w:rPr>
          <w:rFonts w:hint="eastAsia" w:ascii="宋体" w:hAnsi="宋体" w:cs="宋体"/>
          <w:color w:val="000000"/>
          <w:sz w:val="24"/>
          <w:szCs w:val="24"/>
          <w:lang w:eastAsia="zh-CN"/>
        </w:rPr>
        <w:t>；</w:t>
      </w:r>
    </w:p>
    <w:p w14:paraId="485F6C6F">
      <w:pPr>
        <w:numPr>
          <w:ilvl w:val="0"/>
          <w:numId w:val="0"/>
        </w:numPr>
        <w:spacing w:line="360" w:lineRule="auto"/>
        <w:ind w:left="425" w:hanging="425" w:firstLineChars="0"/>
        <w:rPr>
          <w:rFonts w:hint="eastAsia" w:ascii="宋体" w:hAnsi="宋体" w:cs="宋体"/>
          <w:color w:val="000000"/>
          <w:sz w:val="24"/>
          <w:szCs w:val="24"/>
          <w:highlight w:val="none"/>
          <w:lang w:eastAsia="zh-CN"/>
        </w:rPr>
      </w:pPr>
      <w:r>
        <w:rPr>
          <w:rFonts w:hint="eastAsia" w:ascii="宋体" w:hAnsi="宋体" w:cs="宋体"/>
          <w:b w:val="0"/>
          <w:bCs w:val="0"/>
          <w:color w:val="000000"/>
          <w:kern w:val="2"/>
          <w:sz w:val="24"/>
          <w:szCs w:val="24"/>
          <w:lang w:val="en-US" w:eastAsia="zh-CN" w:bidi="ar-SA"/>
        </w:rPr>
        <w:t>4</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color w:val="000000"/>
          <w:sz w:val="24"/>
          <w:szCs w:val="24"/>
          <w:highlight w:val="none"/>
          <w:lang w:val="en-US" w:eastAsia="zh-CN"/>
        </w:rPr>
        <w:t>本项目下所有车辆严禁人工驾送（地跑），一旦发现私自地跑，根据《</w:t>
      </w:r>
      <w:r>
        <w:rPr>
          <w:rFonts w:hint="eastAsia" w:ascii="宋体" w:hAnsi="宋体" w:eastAsia="宋体" w:cs="宋体"/>
          <w:b w:val="0"/>
          <w:bCs w:val="0"/>
          <w:color w:val="000000"/>
          <w:sz w:val="24"/>
          <w:szCs w:val="24"/>
          <w:highlight w:val="none"/>
        </w:rPr>
        <w:t>整车发运违约追责管理办法</w:t>
      </w:r>
      <w:r>
        <w:rPr>
          <w:rFonts w:hint="eastAsia" w:ascii="宋体" w:hAnsi="宋体" w:cs="宋体"/>
          <w:color w:val="000000"/>
          <w:sz w:val="24"/>
          <w:szCs w:val="24"/>
          <w:highlight w:val="none"/>
          <w:lang w:val="en-US" w:eastAsia="zh-CN"/>
        </w:rPr>
        <w:t>》（见附件6）进行处罚，情节严重者，招标人有权提前终止合同，并扣除该标段履约保证金。</w:t>
      </w:r>
    </w:p>
    <w:p w14:paraId="179931F5">
      <w:pPr>
        <w:numPr>
          <w:ilvl w:val="0"/>
          <w:numId w:val="0"/>
        </w:numPr>
        <w:spacing w:line="360" w:lineRule="auto"/>
        <w:ind w:left="425" w:hanging="425" w:firstLineChars="0"/>
        <w:rPr>
          <w:rFonts w:hint="eastAsia" w:ascii="宋体" w:hAnsi="宋体" w:cs="宋体"/>
          <w:color w:val="000000"/>
          <w:sz w:val="24"/>
          <w:szCs w:val="24"/>
          <w:highlight w:val="none"/>
          <w:lang w:eastAsia="zh-CN"/>
        </w:rPr>
      </w:pPr>
      <w:r>
        <w:rPr>
          <w:rFonts w:hint="eastAsia" w:ascii="宋体" w:hAnsi="宋体" w:cs="宋体"/>
          <w:b w:val="0"/>
          <w:bCs w:val="0"/>
          <w:color w:val="000000"/>
          <w:kern w:val="2"/>
          <w:sz w:val="24"/>
          <w:szCs w:val="24"/>
          <w:lang w:val="en-US" w:eastAsia="zh-CN" w:bidi="ar-SA"/>
        </w:rPr>
        <w:t>5</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color w:val="000000"/>
          <w:sz w:val="24"/>
          <w:szCs w:val="24"/>
          <w:highlight w:val="none"/>
          <w:lang w:val="en-US" w:eastAsia="zh-CN"/>
        </w:rPr>
        <w:t>各标段预计合同期内发运量见附件9《投标基价及预估业务量》，预计发运量是基于历史数据与销售任务估算得出，仅供参考，具体业务、结算等环节，以实际销售数量为准。</w:t>
      </w:r>
    </w:p>
    <w:p w14:paraId="46E2D8D5">
      <w:pPr>
        <w:pStyle w:val="3"/>
        <w:numPr>
          <w:ilvl w:val="0"/>
          <w:numId w:val="0"/>
        </w:numPr>
        <w:spacing w:before="0" w:beforeLines="0" w:line="360" w:lineRule="auto"/>
        <w:ind w:left="420" w:leftChars="200"/>
        <w:rPr>
          <w:sz w:val="24"/>
          <w:szCs w:val="24"/>
        </w:rPr>
      </w:pPr>
      <w:bookmarkStart w:id="174" w:name="_Toc6490"/>
      <w:bookmarkStart w:id="175" w:name="_Toc18109"/>
      <w:r>
        <w:rPr>
          <w:rFonts w:hint="eastAsia"/>
          <w:sz w:val="28"/>
          <w:szCs w:val="28"/>
        </w:rPr>
        <w:t>3.3限达时间</w:t>
      </w:r>
      <w:bookmarkEnd w:id="174"/>
      <w:bookmarkEnd w:id="175"/>
    </w:p>
    <w:p w14:paraId="52DD9EFF">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满载时效：</w:t>
      </w:r>
      <w:r>
        <w:rPr>
          <w:rFonts w:hint="eastAsia" w:ascii="宋体" w:hAnsi="宋体" w:cs="宋体"/>
          <w:color w:val="000000"/>
          <w:sz w:val="24"/>
          <w:szCs w:val="24"/>
        </w:rPr>
        <w:t>提车</w:t>
      </w:r>
      <w:r>
        <w:rPr>
          <w:rFonts w:hint="eastAsia" w:ascii="宋体" w:hAnsi="宋体" w:cs="宋体"/>
          <w:color w:val="000000"/>
          <w:sz w:val="24"/>
          <w:szCs w:val="24"/>
          <w:lang w:val="en-US" w:eastAsia="zh-CN"/>
        </w:rPr>
        <w:t>1</w:t>
      </w:r>
      <w:r>
        <w:rPr>
          <w:rFonts w:hint="eastAsia" w:ascii="宋体" w:hAnsi="宋体" w:cs="宋体"/>
          <w:color w:val="000000"/>
          <w:sz w:val="24"/>
          <w:szCs w:val="24"/>
        </w:rPr>
        <w:t>日</w:t>
      </w:r>
      <w:r>
        <w:rPr>
          <w:rFonts w:hint="eastAsia" w:ascii="宋体" w:hAnsi="宋体" w:cs="宋体"/>
          <w:color w:val="000000"/>
          <w:sz w:val="24"/>
          <w:szCs w:val="24"/>
          <w:lang w:val="en-US" w:eastAsia="zh-CN"/>
        </w:rPr>
        <w:t>+</w:t>
      </w:r>
      <w:r>
        <w:rPr>
          <w:rFonts w:hint="eastAsia" w:ascii="宋体" w:hAnsi="宋体" w:cs="宋体"/>
          <w:color w:val="000000"/>
          <w:sz w:val="24"/>
          <w:szCs w:val="24"/>
        </w:rPr>
        <w:t>送车里程/</w:t>
      </w:r>
      <w:r>
        <w:rPr>
          <w:rFonts w:hint="eastAsia" w:ascii="宋体" w:hAnsi="宋体" w:cs="宋体"/>
          <w:color w:val="000000"/>
          <w:sz w:val="24"/>
          <w:szCs w:val="24"/>
          <w:lang w:val="en-US" w:eastAsia="zh-CN"/>
        </w:rPr>
        <w:t>日行驶里程；</w:t>
      </w:r>
    </w:p>
    <w:p w14:paraId="12F70CAC">
      <w:pPr>
        <w:numPr>
          <w:ilvl w:val="0"/>
          <w:numId w:val="31"/>
        </w:numPr>
        <w:spacing w:line="360" w:lineRule="auto"/>
        <w:ind w:left="425" w:hanging="425" w:firstLineChars="0"/>
        <w:rPr>
          <w:rFonts w:ascii="宋体" w:hAnsi="宋体" w:cs="宋体"/>
          <w:color w:val="000000"/>
          <w:sz w:val="24"/>
          <w:szCs w:val="24"/>
        </w:rPr>
      </w:pPr>
      <w:r>
        <w:rPr>
          <w:rFonts w:hint="eastAsia" w:ascii="宋体" w:hAnsi="宋体" w:eastAsia="宋体" w:cs="宋体"/>
          <w:bCs w:val="0"/>
          <w:kern w:val="2"/>
          <w:sz w:val="24"/>
          <w:szCs w:val="24"/>
          <w:lang w:val="en-US" w:eastAsia="zh-CN" w:bidi="zh-CN"/>
        </w:rPr>
        <w:t>非满载</w:t>
      </w:r>
      <w:r>
        <w:rPr>
          <w:rFonts w:hint="eastAsia" w:ascii="宋体" w:hAnsi="宋体" w:cs="宋体"/>
          <w:bCs w:val="0"/>
          <w:kern w:val="2"/>
          <w:sz w:val="24"/>
          <w:szCs w:val="24"/>
          <w:lang w:val="en-US" w:eastAsia="zh-CN" w:bidi="zh-CN"/>
        </w:rPr>
        <w:t>时</w:t>
      </w:r>
      <w:r>
        <w:rPr>
          <w:rFonts w:hint="eastAsia" w:ascii="宋体" w:hAnsi="宋体" w:eastAsia="宋体" w:cs="宋体"/>
          <w:bCs w:val="0"/>
          <w:kern w:val="2"/>
          <w:sz w:val="24"/>
          <w:szCs w:val="24"/>
          <w:lang w:val="en-US" w:eastAsia="zh-CN" w:bidi="zh-CN"/>
        </w:rPr>
        <w:t>，</w:t>
      </w:r>
      <w:r>
        <w:rPr>
          <w:rFonts w:hint="eastAsia" w:ascii="宋体" w:hAnsi="宋体" w:cs="宋体"/>
          <w:bCs w:val="0"/>
          <w:kern w:val="2"/>
          <w:sz w:val="24"/>
          <w:szCs w:val="24"/>
          <w:lang w:val="en-US" w:eastAsia="zh-CN" w:bidi="zh-CN"/>
        </w:rPr>
        <w:t>在满载</w:t>
      </w:r>
      <w:r>
        <w:rPr>
          <w:rFonts w:hint="eastAsia" w:ascii="宋体" w:hAnsi="宋体" w:eastAsia="宋体" w:cs="宋体"/>
          <w:bCs w:val="0"/>
          <w:kern w:val="2"/>
          <w:sz w:val="24"/>
          <w:szCs w:val="24"/>
          <w:lang w:val="en-US" w:eastAsia="zh-CN" w:bidi="zh-CN"/>
        </w:rPr>
        <w:t>时效</w:t>
      </w:r>
      <w:r>
        <w:rPr>
          <w:rFonts w:hint="eastAsia" w:ascii="宋体" w:hAnsi="宋体" w:cs="宋体"/>
          <w:bCs w:val="0"/>
          <w:kern w:val="2"/>
          <w:sz w:val="24"/>
          <w:szCs w:val="24"/>
          <w:lang w:val="en-US" w:eastAsia="zh-CN" w:bidi="zh-CN"/>
        </w:rPr>
        <w:t>基础上增加</w:t>
      </w:r>
      <w:r>
        <w:rPr>
          <w:rFonts w:hint="eastAsia" w:ascii="宋体" w:hAnsi="宋体" w:eastAsia="宋体" w:cs="宋体"/>
          <w:bCs w:val="0"/>
          <w:kern w:val="2"/>
          <w:sz w:val="24"/>
          <w:szCs w:val="24"/>
          <w:lang w:val="en-US" w:eastAsia="zh-CN" w:bidi="zh-CN"/>
        </w:rPr>
        <w:t>3天</w:t>
      </w:r>
      <w:r>
        <w:rPr>
          <w:rFonts w:hint="eastAsia" w:ascii="宋体" w:hAnsi="宋体" w:cs="宋体"/>
          <w:bCs w:val="0"/>
          <w:kern w:val="2"/>
          <w:sz w:val="24"/>
          <w:szCs w:val="24"/>
          <w:lang w:val="en-US" w:eastAsia="zh-CN" w:bidi="zh-CN"/>
        </w:rPr>
        <w:t>的配板</w:t>
      </w:r>
      <w:r>
        <w:rPr>
          <w:rFonts w:hint="eastAsia" w:ascii="宋体" w:hAnsi="宋体" w:eastAsia="宋体" w:cs="宋体"/>
          <w:bCs w:val="0"/>
          <w:kern w:val="2"/>
          <w:sz w:val="24"/>
          <w:szCs w:val="24"/>
          <w:lang w:val="en-US" w:eastAsia="zh-CN" w:bidi="zh-CN"/>
        </w:rPr>
        <w:t>时间</w:t>
      </w:r>
      <w:r>
        <w:rPr>
          <w:rFonts w:hint="eastAsia" w:ascii="宋体" w:hAnsi="宋体" w:cs="宋体"/>
          <w:bCs w:val="0"/>
          <w:kern w:val="2"/>
          <w:sz w:val="24"/>
          <w:szCs w:val="24"/>
          <w:lang w:val="en-US" w:eastAsia="zh-CN" w:bidi="zh-CN"/>
        </w:rPr>
        <w:t>；</w:t>
      </w:r>
    </w:p>
    <w:p w14:paraId="5CDC7A0E">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b w:val="0"/>
          <w:bCs w:val="0"/>
          <w:color w:val="000000"/>
          <w:sz w:val="24"/>
          <w:szCs w:val="24"/>
        </w:rPr>
        <w:t>日行驶</w:t>
      </w:r>
      <w:r>
        <w:rPr>
          <w:rFonts w:hint="eastAsia" w:ascii="宋体" w:hAnsi="宋体" w:cs="宋体"/>
          <w:b w:val="0"/>
          <w:bCs w:val="0"/>
          <w:color w:val="000000"/>
          <w:sz w:val="24"/>
          <w:szCs w:val="24"/>
          <w:lang w:val="en-US" w:eastAsia="zh-CN"/>
        </w:rPr>
        <w:t>里程要求为6</w:t>
      </w:r>
      <w:r>
        <w:rPr>
          <w:rFonts w:hint="eastAsia" w:ascii="宋体" w:hAnsi="宋体" w:cs="宋体"/>
          <w:b w:val="0"/>
          <w:bCs w:val="0"/>
          <w:color w:val="000000"/>
          <w:sz w:val="24"/>
          <w:szCs w:val="24"/>
        </w:rPr>
        <w:t>00公里</w:t>
      </w:r>
      <w:r>
        <w:rPr>
          <w:rFonts w:hint="eastAsia" w:ascii="宋体" w:hAnsi="宋体" w:cs="宋体"/>
          <w:b w:val="0"/>
          <w:bCs w:val="0"/>
          <w:color w:val="000000"/>
          <w:sz w:val="24"/>
          <w:szCs w:val="24"/>
          <w:lang w:val="en-US" w:eastAsia="zh-CN"/>
        </w:rPr>
        <w:t>/天；</w:t>
      </w:r>
    </w:p>
    <w:p w14:paraId="2C0C6D1C">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实际业务中，如出现大批量集中发运，或出现客户要求尽快交付的情况，具体交付时间或有调整；</w:t>
      </w:r>
    </w:p>
    <w:p w14:paraId="750B491D">
      <w:pPr>
        <w:numPr>
          <w:ilvl w:val="0"/>
          <w:numId w:val="31"/>
        </w:numPr>
        <w:spacing w:line="360" w:lineRule="auto"/>
        <w:ind w:left="425" w:hanging="425" w:firstLineChars="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lang w:val="en-US" w:eastAsia="zh-CN"/>
        </w:rPr>
        <w:t>未按限达时间送达时，执行相关考核；</w:t>
      </w:r>
    </w:p>
    <w:p w14:paraId="2E82016C">
      <w:pPr>
        <w:pStyle w:val="3"/>
        <w:numPr>
          <w:ilvl w:val="0"/>
          <w:numId w:val="0"/>
        </w:numPr>
        <w:spacing w:before="0" w:beforeLines="0" w:line="360" w:lineRule="auto"/>
        <w:ind w:left="420" w:leftChars="200"/>
        <w:rPr>
          <w:sz w:val="28"/>
          <w:szCs w:val="28"/>
        </w:rPr>
      </w:pPr>
      <w:bookmarkStart w:id="176" w:name="_Toc8100"/>
      <w:bookmarkStart w:id="177" w:name="_Toc30775"/>
      <w:bookmarkStart w:id="178" w:name="_Toc30836"/>
      <w:bookmarkStart w:id="179" w:name="_Toc21459"/>
      <w:r>
        <w:rPr>
          <w:rFonts w:hint="eastAsia"/>
          <w:sz w:val="28"/>
          <w:szCs w:val="28"/>
        </w:rPr>
        <w:t>3.4</w:t>
      </w:r>
      <w:bookmarkEnd w:id="176"/>
      <w:bookmarkEnd w:id="177"/>
      <w:r>
        <w:rPr>
          <w:rFonts w:hint="eastAsia"/>
          <w:sz w:val="28"/>
          <w:szCs w:val="28"/>
          <w:lang w:val="en-US" w:eastAsia="zh-CN"/>
        </w:rPr>
        <w:t>送达</w:t>
      </w:r>
      <w:r>
        <w:rPr>
          <w:rFonts w:hint="eastAsia"/>
          <w:sz w:val="28"/>
          <w:szCs w:val="28"/>
        </w:rPr>
        <w:t>及时率</w:t>
      </w:r>
      <w:bookmarkEnd w:id="178"/>
      <w:bookmarkEnd w:id="179"/>
    </w:p>
    <w:p w14:paraId="7AEB7EF0">
      <w:pPr>
        <w:numPr>
          <w:ilvl w:val="0"/>
          <w:numId w:val="32"/>
        </w:numPr>
        <w:spacing w:line="360" w:lineRule="auto"/>
        <w:ind w:left="425" w:hanging="425" w:firstLineChars="0"/>
        <w:rPr>
          <w:rFonts w:ascii="宋体" w:hAnsi="宋体" w:cs="宋体"/>
          <w:color w:val="000000"/>
          <w:sz w:val="24"/>
          <w:szCs w:val="24"/>
          <w:highlight w:val="none"/>
        </w:rPr>
      </w:pPr>
      <w:bookmarkStart w:id="180" w:name="_Toc7831"/>
      <w:bookmarkStart w:id="181" w:name="_Toc21381"/>
      <w:bookmarkStart w:id="182" w:name="_Toc3949"/>
      <w:bookmarkStart w:id="183" w:name="_Toc17024"/>
      <w:r>
        <w:rPr>
          <w:rFonts w:hint="eastAsia" w:ascii="宋体" w:hAnsi="宋体" w:cs="宋体"/>
          <w:color w:val="000000"/>
          <w:sz w:val="24"/>
          <w:szCs w:val="24"/>
          <w:highlight w:val="none"/>
          <w:lang w:val="en-US" w:eastAsia="zh-CN"/>
        </w:rPr>
        <w:t>送达及时率=</w:t>
      </w:r>
      <w:r>
        <w:rPr>
          <w:rFonts w:hint="eastAsia" w:ascii="宋体" w:hAnsi="宋体" w:cs="宋体"/>
          <w:color w:val="000000"/>
          <w:sz w:val="24"/>
          <w:szCs w:val="24"/>
          <w:highlight w:val="none"/>
        </w:rPr>
        <w:t>按期送达车辆数/限达周期内的</w:t>
      </w:r>
      <w:r>
        <w:rPr>
          <w:rFonts w:hint="eastAsia" w:ascii="宋体" w:hAnsi="宋体" w:cs="宋体"/>
          <w:color w:val="000000"/>
          <w:sz w:val="24"/>
          <w:szCs w:val="24"/>
          <w:highlight w:val="none"/>
          <w:lang w:val="en-US" w:eastAsia="zh-CN"/>
        </w:rPr>
        <w:t>应</w:t>
      </w:r>
      <w:r>
        <w:rPr>
          <w:rFonts w:hint="eastAsia" w:ascii="宋体" w:hAnsi="宋体" w:cs="宋体"/>
          <w:color w:val="000000"/>
          <w:sz w:val="24"/>
          <w:szCs w:val="24"/>
          <w:highlight w:val="none"/>
        </w:rPr>
        <w:t>送达总数*100%</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及时率不得低于98%；</w:t>
      </w:r>
      <w:bookmarkEnd w:id="180"/>
      <w:bookmarkEnd w:id="181"/>
      <w:bookmarkEnd w:id="182"/>
      <w:bookmarkEnd w:id="183"/>
    </w:p>
    <w:p w14:paraId="3A437D0E">
      <w:pPr>
        <w:numPr>
          <w:ilvl w:val="0"/>
          <w:numId w:val="3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因</w:t>
      </w:r>
      <w:r>
        <w:rPr>
          <w:rFonts w:hint="eastAsia" w:ascii="宋体" w:hAnsi="宋体" w:cs="宋体"/>
          <w:color w:val="000000"/>
          <w:sz w:val="24"/>
          <w:szCs w:val="24"/>
          <w:highlight w:val="none"/>
          <w:lang w:val="en-US" w:eastAsia="zh-CN"/>
        </w:rPr>
        <w:t>中标单位原因造成的未按时</w:t>
      </w:r>
      <w:r>
        <w:rPr>
          <w:rFonts w:hint="eastAsia" w:ascii="宋体" w:hAnsi="宋体" w:cs="宋体"/>
          <w:color w:val="000000"/>
          <w:sz w:val="24"/>
          <w:szCs w:val="24"/>
          <w:highlight w:val="none"/>
        </w:rPr>
        <w:t>送达</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由中标单位承担</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包含出口</w:t>
      </w:r>
      <w:r>
        <w:rPr>
          <w:rFonts w:hint="eastAsia" w:ascii="宋体" w:hAnsi="宋体" w:cs="宋体"/>
          <w:color w:val="000000"/>
          <w:sz w:val="24"/>
          <w:szCs w:val="24"/>
          <w:highlight w:val="none"/>
        </w:rPr>
        <w:t>车辆</w:t>
      </w:r>
      <w:r>
        <w:rPr>
          <w:rFonts w:hint="eastAsia" w:ascii="宋体" w:hAnsi="宋体" w:cs="宋体"/>
          <w:color w:val="000000"/>
          <w:sz w:val="24"/>
          <w:szCs w:val="24"/>
          <w:highlight w:val="none"/>
          <w:lang w:val="en-US" w:eastAsia="zh-CN"/>
        </w:rPr>
        <w:t>产生</w:t>
      </w:r>
      <w:r>
        <w:rPr>
          <w:rFonts w:hint="eastAsia" w:ascii="宋体" w:hAnsi="宋体" w:cs="宋体"/>
          <w:color w:val="000000"/>
          <w:sz w:val="24"/>
          <w:szCs w:val="24"/>
          <w:highlight w:val="none"/>
        </w:rPr>
        <w:t>的</w:t>
      </w:r>
      <w:r>
        <w:rPr>
          <w:rFonts w:hint="eastAsia" w:ascii="宋体" w:hAnsi="宋体" w:cs="宋体"/>
          <w:color w:val="000000"/>
          <w:sz w:val="24"/>
          <w:szCs w:val="24"/>
          <w:highlight w:val="none"/>
          <w:lang w:val="en-US" w:eastAsia="zh-CN"/>
        </w:rPr>
        <w:t>诸如</w:t>
      </w:r>
      <w:r>
        <w:rPr>
          <w:rFonts w:hint="eastAsia" w:ascii="宋体" w:hAnsi="宋体" w:cs="宋体"/>
          <w:color w:val="000000"/>
          <w:sz w:val="24"/>
          <w:szCs w:val="24"/>
          <w:highlight w:val="none"/>
        </w:rPr>
        <w:t>亏舱费</w:t>
      </w:r>
      <w:r>
        <w:rPr>
          <w:rFonts w:hint="eastAsia" w:ascii="宋体" w:hAnsi="宋体" w:cs="宋体"/>
          <w:color w:val="000000"/>
          <w:sz w:val="24"/>
          <w:szCs w:val="24"/>
          <w:highlight w:val="none"/>
          <w:lang w:val="en-US" w:eastAsia="zh-CN"/>
        </w:rPr>
        <w:t>等连带损失</w:t>
      </w:r>
      <w:r>
        <w:rPr>
          <w:rFonts w:hint="eastAsia" w:ascii="宋体" w:hAnsi="宋体" w:cs="宋体"/>
          <w:color w:val="000000"/>
          <w:sz w:val="24"/>
          <w:szCs w:val="24"/>
          <w:highlight w:val="none"/>
        </w:rPr>
        <w:t>。</w:t>
      </w:r>
    </w:p>
    <w:p w14:paraId="711920CD">
      <w:pPr>
        <w:numPr>
          <w:ilvl w:val="0"/>
          <w:numId w:val="3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发生事故</w:t>
      </w:r>
      <w:r>
        <w:rPr>
          <w:rFonts w:hint="eastAsia" w:ascii="宋体" w:hAnsi="宋体" w:cs="宋体"/>
          <w:color w:val="000000"/>
          <w:sz w:val="24"/>
          <w:szCs w:val="24"/>
          <w:highlight w:val="none"/>
          <w:lang w:val="en-US" w:eastAsia="zh-CN"/>
        </w:rPr>
        <w:t>导致无法交付或客户要求买断时，</w:t>
      </w:r>
      <w:r>
        <w:rPr>
          <w:rFonts w:hint="eastAsia" w:ascii="宋体" w:hAnsi="宋体" w:cs="宋体"/>
          <w:color w:val="000000"/>
          <w:sz w:val="24"/>
          <w:szCs w:val="24"/>
          <w:highlight w:val="none"/>
        </w:rPr>
        <w:t>最长买断</w:t>
      </w:r>
      <w:r>
        <w:rPr>
          <w:rFonts w:hint="eastAsia" w:ascii="宋体" w:hAnsi="宋体" w:cs="宋体"/>
          <w:color w:val="000000"/>
          <w:sz w:val="24"/>
          <w:szCs w:val="24"/>
          <w:highlight w:val="none"/>
          <w:lang w:val="en-US" w:eastAsia="zh-CN"/>
        </w:rPr>
        <w:t>执行期</w:t>
      </w:r>
      <w:r>
        <w:rPr>
          <w:rFonts w:hint="eastAsia" w:ascii="宋体" w:hAnsi="宋体" w:cs="宋体"/>
          <w:color w:val="000000"/>
          <w:sz w:val="24"/>
          <w:szCs w:val="24"/>
          <w:highlight w:val="none"/>
        </w:rPr>
        <w:t>为自发生事故</w:t>
      </w:r>
      <w:r>
        <w:rPr>
          <w:rFonts w:hint="eastAsia" w:ascii="宋体" w:hAnsi="宋体" w:cs="宋体"/>
          <w:color w:val="000000"/>
          <w:sz w:val="24"/>
          <w:szCs w:val="24"/>
          <w:highlight w:val="none"/>
          <w:lang w:val="en-US" w:eastAsia="zh-CN"/>
        </w:rPr>
        <w:t>/提出买断要求</w:t>
      </w:r>
      <w:r>
        <w:rPr>
          <w:rFonts w:hint="eastAsia" w:ascii="宋体" w:hAnsi="宋体" w:cs="宋体"/>
          <w:color w:val="000000"/>
          <w:sz w:val="24"/>
          <w:szCs w:val="24"/>
          <w:highlight w:val="none"/>
        </w:rPr>
        <w:t>起30个自然日。</w:t>
      </w:r>
    </w:p>
    <w:p w14:paraId="7730AE99">
      <w:pPr>
        <w:pStyle w:val="3"/>
        <w:numPr>
          <w:ilvl w:val="0"/>
          <w:numId w:val="0"/>
        </w:numPr>
        <w:spacing w:before="0" w:beforeLines="0" w:line="360" w:lineRule="auto"/>
        <w:ind w:left="420" w:leftChars="200"/>
        <w:rPr>
          <w:rFonts w:hint="eastAsia" w:ascii="Times New Roman" w:hAnsi="Times New Roman" w:cs="Times New Roman"/>
          <w:sz w:val="28"/>
          <w:szCs w:val="28"/>
        </w:rPr>
      </w:pPr>
      <w:bookmarkStart w:id="184" w:name="_Toc5221"/>
      <w:bookmarkStart w:id="185" w:name="_Toc1774"/>
      <w:bookmarkStart w:id="186" w:name="_Toc11639"/>
      <w:bookmarkStart w:id="187" w:name="_Toc25924"/>
      <w:r>
        <w:rPr>
          <w:rFonts w:hint="eastAsia"/>
          <w:sz w:val="28"/>
          <w:szCs w:val="28"/>
        </w:rPr>
        <w:t>3.5项目运输费用标准</w:t>
      </w:r>
      <w:bookmarkEnd w:id="184"/>
      <w:bookmarkEnd w:id="185"/>
      <w:bookmarkEnd w:id="186"/>
      <w:bookmarkEnd w:id="187"/>
    </w:p>
    <w:p w14:paraId="7664370B">
      <w:pPr>
        <w:widowControl w:val="0"/>
        <w:numPr>
          <w:ilvl w:val="0"/>
          <w:numId w:val="33"/>
        </w:numPr>
        <w:autoSpaceDE/>
        <w:autoSpaceDN/>
        <w:snapToGrid w:val="0"/>
        <w:spacing w:before="60" w:after="60" w:line="360" w:lineRule="auto"/>
        <w:ind w:left="425" w:leftChars="0" w:hanging="425" w:firstLineChars="0"/>
        <w:outlineLvl w:val="0"/>
        <w:rPr>
          <w:rFonts w:hint="eastAsia" w:ascii="宋体" w:hAnsi="宋体" w:eastAsia="宋体" w:cs="宋体"/>
          <w:bCs w:val="0"/>
          <w:sz w:val="24"/>
          <w:szCs w:val="24"/>
          <w:lang w:val="en-US" w:bidi="zh-CN"/>
        </w:rPr>
      </w:pPr>
      <w:bookmarkStart w:id="188" w:name="_Toc19980"/>
      <w:r>
        <w:rPr>
          <w:rFonts w:hint="eastAsia" w:ascii="宋体" w:hAnsi="宋体" w:cs="宋体"/>
          <w:bCs w:val="0"/>
          <w:sz w:val="24"/>
          <w:szCs w:val="24"/>
          <w:lang w:val="en-US" w:bidi="zh-CN"/>
        </w:rPr>
        <w:t>本次招标签订开口合同，合同确定各车型对应的单车单公里的单价，合同期内据实结算</w:t>
      </w:r>
      <w:r>
        <w:rPr>
          <w:rFonts w:hint="eastAsia" w:ascii="宋体" w:hAnsi="宋体" w:eastAsia="宋体" w:cs="宋体"/>
          <w:bCs w:val="0"/>
          <w:sz w:val="24"/>
          <w:szCs w:val="24"/>
          <w:lang w:val="en-US" w:bidi="zh-CN"/>
        </w:rPr>
        <w:t>。</w:t>
      </w:r>
      <w:bookmarkEnd w:id="188"/>
    </w:p>
    <w:p w14:paraId="2707D50D">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bCs w:val="0"/>
          <w:kern w:val="2"/>
          <w:sz w:val="24"/>
          <w:szCs w:val="24"/>
          <w:lang w:val="en-US" w:eastAsia="zh-CN" w:bidi="zh-CN"/>
        </w:rPr>
        <w:t>单车价格=单价×运输里程+特殊场景费用</w:t>
      </w:r>
      <w:r>
        <w:rPr>
          <w:rFonts w:hint="eastAsia" w:ascii="宋体" w:hAnsi="宋体" w:cs="宋体"/>
          <w:sz w:val="24"/>
          <w:szCs w:val="24"/>
          <w:lang w:val="en-US" w:eastAsia="zh-CN"/>
        </w:rPr>
        <w:t>。</w:t>
      </w:r>
    </w:p>
    <w:p w14:paraId="536CEEF2">
      <w:pPr>
        <w:numPr>
          <w:ilvl w:val="0"/>
          <w:numId w:val="33"/>
        </w:numPr>
        <w:spacing w:line="360" w:lineRule="auto"/>
        <w:ind w:left="425" w:hanging="425"/>
        <w:rPr>
          <w:rFonts w:hint="eastAsia" w:ascii="宋体" w:hAnsi="宋体" w:cs="宋体"/>
          <w:sz w:val="24"/>
          <w:szCs w:val="24"/>
          <w:lang w:bidi="zh-CN"/>
        </w:rPr>
      </w:pPr>
      <w:r>
        <w:rPr>
          <w:rFonts w:hint="eastAsia" w:ascii="宋体" w:hAnsi="宋体" w:cs="宋体"/>
          <w:sz w:val="24"/>
          <w:szCs w:val="24"/>
          <w:lang w:bidi="zh-CN"/>
        </w:rPr>
        <w:t>当月运输费用=当月实际发生的每台单车运输价格之和。</w:t>
      </w:r>
    </w:p>
    <w:p w14:paraId="2E3AC9DE">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bCs w:val="0"/>
          <w:kern w:val="2"/>
          <w:sz w:val="24"/>
          <w:szCs w:val="24"/>
          <w:lang w:val="en-US" w:eastAsia="zh-CN" w:bidi="zh-CN"/>
        </w:rPr>
        <w:t>运输至全国主要城市地区对应里程数</w:t>
      </w:r>
      <w:r>
        <w:rPr>
          <w:rFonts w:hint="eastAsia" w:ascii="宋体" w:hAnsi="宋体" w:cs="宋体"/>
          <w:bCs w:val="0"/>
          <w:kern w:val="2"/>
          <w:sz w:val="24"/>
          <w:szCs w:val="24"/>
          <w:highlight w:val="none"/>
          <w:lang w:val="en-US" w:eastAsia="zh-CN" w:bidi="zh-CN"/>
        </w:rPr>
        <w:t>详见附件7</w:t>
      </w:r>
      <w:r>
        <w:rPr>
          <w:rFonts w:hint="eastAsia" w:ascii="宋体" w:hAnsi="宋体" w:cs="宋体"/>
          <w:bCs w:val="0"/>
          <w:kern w:val="2"/>
          <w:sz w:val="24"/>
          <w:szCs w:val="24"/>
          <w:lang w:val="en-US" w:eastAsia="zh-CN" w:bidi="zh-CN"/>
        </w:rPr>
        <w:t>，</w:t>
      </w:r>
      <w:r>
        <w:rPr>
          <w:rFonts w:hint="eastAsia" w:ascii="宋体" w:hAnsi="宋体" w:cs="宋体"/>
          <w:sz w:val="24"/>
          <w:szCs w:val="24"/>
          <w:lang w:bidi="zh-CN"/>
        </w:rPr>
        <w:t>若实际运输里程与附件中</w:t>
      </w:r>
      <w:r>
        <w:rPr>
          <w:rFonts w:hint="eastAsia" w:ascii="宋体" w:hAnsi="宋体" w:cs="宋体"/>
          <w:sz w:val="24"/>
          <w:szCs w:val="24"/>
          <w:lang w:val="en-US" w:bidi="zh-CN"/>
        </w:rPr>
        <w:t>规定</w:t>
      </w:r>
      <w:r>
        <w:rPr>
          <w:rFonts w:hint="eastAsia" w:ascii="宋体" w:hAnsi="宋体" w:cs="宋体"/>
          <w:sz w:val="24"/>
          <w:szCs w:val="24"/>
          <w:lang w:bidi="zh-CN"/>
        </w:rPr>
        <w:t>里程差异较大，招标人有权对附件中里程进行调整。</w:t>
      </w:r>
    </w:p>
    <w:p w14:paraId="10151233">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sz w:val="24"/>
          <w:szCs w:val="24"/>
          <w:lang w:val="en-US" w:bidi="zh-CN"/>
        </w:rPr>
        <w:t>中置轴满载</w:t>
      </w:r>
      <w:r>
        <w:rPr>
          <w:rFonts w:hint="eastAsia" w:ascii="宋体" w:hAnsi="宋体" w:cs="宋体"/>
          <w:sz w:val="24"/>
          <w:szCs w:val="24"/>
          <w:highlight w:val="none"/>
          <w:lang w:val="en-US" w:bidi="zh-CN"/>
        </w:rPr>
        <w:t>为7台皮卡或8台SUV</w:t>
      </w:r>
      <w:r>
        <w:rPr>
          <w:rFonts w:hint="eastAsia" w:ascii="宋体" w:hAnsi="宋体" w:cs="宋体"/>
          <w:sz w:val="24"/>
          <w:szCs w:val="24"/>
          <w:lang w:val="en-US" w:bidi="zh-CN"/>
        </w:rPr>
        <w:t xml:space="preserve"> ，17.5m板车满载为3台轻客。合同期内，未涵盖新车型发运时，如满载数量一致时，根据生产地和装载采用的车型，选择对应单价；如满载数量不同时，根据生产地、送达地和装载采用车型计算出满载的费用，根据实际装载数量计算出对应单价。</w:t>
      </w:r>
    </w:p>
    <w:p w14:paraId="43CA014F">
      <w:pPr>
        <w:keepNext w:val="0"/>
        <w:keepLines w:val="0"/>
        <w:widowControl/>
        <w:numPr>
          <w:ilvl w:val="0"/>
          <w:numId w:val="33"/>
        </w:numPr>
        <w:suppressLineNumbers w:val="0"/>
        <w:tabs>
          <w:tab w:val="left" w:pos="-420"/>
        </w:tabs>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sz w:val="24"/>
          <w:szCs w:val="24"/>
          <w:lang w:val="en-US" w:bidi="zh-CN"/>
        </w:rPr>
        <w:t>参照智能物流中心的板车招标结果，及价值工程部审核通过的特殊场景费用，对特殊场景费用（含税）明确如下：</w:t>
      </w:r>
    </w:p>
    <w:p w14:paraId="6519B61D">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lang w:val="en-US" w:eastAsia="zh-CN" w:bidi="zh-CN"/>
        </w:rPr>
      </w:pPr>
      <w:r>
        <w:rPr>
          <w:rFonts w:hint="eastAsia" w:ascii="宋体" w:hAnsi="宋体" w:eastAsia="宋体" w:cs="宋体"/>
          <w:bCs w:val="0"/>
          <w:kern w:val="2"/>
          <w:sz w:val="24"/>
          <w:szCs w:val="24"/>
          <w:lang w:val="en-US" w:eastAsia="zh-CN" w:bidi="zh-CN"/>
        </w:rPr>
        <w:t>春节发运方案（腊月23至正月初八）：在途奖励</w:t>
      </w:r>
      <w:r>
        <w:rPr>
          <w:rFonts w:hint="eastAsia" w:ascii="宋体" w:hAnsi="宋体" w:cs="宋体"/>
          <w:bCs w:val="0"/>
          <w:kern w:val="2"/>
          <w:sz w:val="24"/>
          <w:szCs w:val="24"/>
          <w:lang w:val="en-US" w:eastAsia="zh-CN" w:bidi="zh-CN"/>
        </w:rPr>
        <w:t>：</w:t>
      </w:r>
      <w:r>
        <w:rPr>
          <w:rFonts w:hint="eastAsia" w:ascii="宋体" w:hAnsi="宋体" w:eastAsia="宋体" w:cs="宋体"/>
          <w:bCs w:val="0"/>
          <w:kern w:val="2"/>
          <w:sz w:val="24"/>
          <w:szCs w:val="24"/>
          <w:lang w:val="en-US" w:eastAsia="zh-CN" w:bidi="zh-CN"/>
        </w:rPr>
        <w:t>300元/天·</w:t>
      </w:r>
      <w:r>
        <w:rPr>
          <w:rFonts w:hint="eastAsia" w:ascii="宋体" w:hAnsi="宋体" w:cs="宋体"/>
          <w:bCs w:val="0"/>
          <w:kern w:val="2"/>
          <w:sz w:val="24"/>
          <w:szCs w:val="24"/>
          <w:lang w:val="en-US" w:eastAsia="zh-CN" w:bidi="zh-CN"/>
        </w:rPr>
        <w:t>板</w:t>
      </w:r>
      <w:r>
        <w:rPr>
          <w:rFonts w:hint="eastAsia" w:ascii="宋体" w:hAnsi="宋体" w:eastAsia="宋体" w:cs="宋体"/>
          <w:bCs w:val="0"/>
          <w:kern w:val="2"/>
          <w:sz w:val="24"/>
          <w:szCs w:val="24"/>
          <w:lang w:val="en-US" w:eastAsia="zh-CN" w:bidi="zh-CN"/>
        </w:rPr>
        <w:t>；</w:t>
      </w:r>
    </w:p>
    <w:p w14:paraId="1CC10BEA">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green"/>
          <w:lang w:val="en-US" w:eastAsia="zh-CN" w:bidi="zh-CN"/>
        </w:rPr>
      </w:pPr>
      <w:r>
        <w:rPr>
          <w:rFonts w:hint="eastAsia" w:ascii="宋体" w:hAnsi="宋体" w:eastAsia="宋体" w:cs="宋体"/>
          <w:bCs w:val="0"/>
          <w:kern w:val="2"/>
          <w:sz w:val="24"/>
          <w:szCs w:val="24"/>
          <w:highlight w:val="green"/>
          <w:lang w:val="en-US" w:eastAsia="zh-CN" w:bidi="zh-CN"/>
        </w:rPr>
        <w:t>交车补油，随车拉物品应业务要求，执行对应标准；</w:t>
      </w:r>
    </w:p>
    <w:p w14:paraId="71672C5E">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none"/>
          <w:lang w:val="en-US" w:eastAsia="zh-CN" w:bidi="zh-CN"/>
        </w:rPr>
      </w:pPr>
      <w:r>
        <w:rPr>
          <w:rFonts w:hint="eastAsia" w:ascii="宋体" w:hAnsi="宋体" w:eastAsia="宋体" w:cs="宋体"/>
          <w:bCs w:val="0"/>
          <w:kern w:val="2"/>
          <w:sz w:val="24"/>
          <w:szCs w:val="24"/>
          <w:highlight w:val="none"/>
          <w:lang w:val="en-US" w:eastAsia="zh-CN" w:bidi="zh-CN"/>
        </w:rPr>
        <w:t>等待误工费</w:t>
      </w:r>
      <w:r>
        <w:rPr>
          <w:rFonts w:hint="eastAsia" w:ascii="宋体" w:hAnsi="宋体" w:cs="宋体"/>
          <w:bCs w:val="0"/>
          <w:kern w:val="2"/>
          <w:sz w:val="24"/>
          <w:szCs w:val="24"/>
          <w:highlight w:val="none"/>
          <w:lang w:val="en-US" w:eastAsia="zh-CN" w:bidi="zh-CN"/>
        </w:rPr>
        <w:t>：因非送车公司原因导致当天未提出车时，支付误工及食宿费260元/人·天；</w:t>
      </w:r>
    </w:p>
    <w:p w14:paraId="7E12561E">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none"/>
          <w:lang w:val="en-US" w:eastAsia="zh-CN" w:bidi="zh-CN"/>
        </w:rPr>
      </w:pPr>
      <w:r>
        <w:rPr>
          <w:rFonts w:hint="eastAsia" w:ascii="宋体" w:hAnsi="宋体" w:cs="宋体"/>
          <w:bCs w:val="0"/>
          <w:kern w:val="2"/>
          <w:sz w:val="24"/>
          <w:szCs w:val="24"/>
          <w:highlight w:val="none"/>
          <w:lang w:val="en-US" w:eastAsia="zh-CN" w:bidi="zh-CN"/>
        </w:rPr>
        <w:t>因业务需求，</w:t>
      </w:r>
      <w:r>
        <w:rPr>
          <w:rFonts w:hint="eastAsia" w:ascii="宋体" w:hAnsi="宋体" w:eastAsia="宋体" w:cs="宋体"/>
          <w:bCs w:val="0"/>
          <w:kern w:val="2"/>
          <w:sz w:val="24"/>
          <w:szCs w:val="24"/>
          <w:highlight w:val="none"/>
          <w:lang w:val="en-US" w:eastAsia="zh-CN" w:bidi="zh-CN"/>
        </w:rPr>
        <w:t>非满载</w:t>
      </w:r>
      <w:r>
        <w:rPr>
          <w:rFonts w:hint="eastAsia" w:ascii="宋体" w:hAnsi="宋体" w:cs="宋体"/>
          <w:bCs w:val="0"/>
          <w:kern w:val="2"/>
          <w:sz w:val="24"/>
          <w:szCs w:val="24"/>
          <w:highlight w:val="none"/>
          <w:lang w:val="en-US" w:eastAsia="zh-CN" w:bidi="zh-CN"/>
        </w:rPr>
        <w:t>又无3天配板时间时，经审批后，可执行应急发运补贴</w:t>
      </w:r>
      <w:r>
        <w:rPr>
          <w:rFonts w:hint="eastAsia" w:ascii="宋体" w:hAnsi="宋体" w:cs="宋体"/>
          <w:bCs w:val="0"/>
          <w:kern w:val="2"/>
          <w:sz w:val="24"/>
          <w:szCs w:val="24"/>
          <w:highlight w:val="none"/>
          <w:u w:val="none"/>
          <w:lang w:val="en-US" w:eastAsia="zh-CN" w:bidi="zh-CN"/>
        </w:rPr>
        <w:t>0.55元</w:t>
      </w:r>
      <w:r>
        <w:rPr>
          <w:rFonts w:hint="eastAsia" w:ascii="宋体" w:hAnsi="宋体" w:cs="宋体"/>
          <w:bCs w:val="0"/>
          <w:kern w:val="2"/>
          <w:sz w:val="24"/>
          <w:szCs w:val="24"/>
          <w:highlight w:val="none"/>
          <w:lang w:val="en-US" w:eastAsia="zh-CN" w:bidi="zh-CN"/>
        </w:rPr>
        <w:t>/公里·板；</w:t>
      </w:r>
    </w:p>
    <w:p w14:paraId="0A168E5C">
      <w:pPr>
        <w:widowControl/>
        <w:numPr>
          <w:ilvl w:val="0"/>
          <w:numId w:val="33"/>
        </w:numPr>
        <w:tabs>
          <w:tab w:val="left" w:pos="-420"/>
        </w:tabs>
        <w:spacing w:line="360" w:lineRule="auto"/>
        <w:ind w:left="425" w:hanging="425" w:firstLineChars="0"/>
        <w:rPr>
          <w:rFonts w:hint="eastAsia" w:ascii="宋体" w:hAnsi="宋体" w:eastAsia="宋体" w:cs="宋体"/>
          <w:bCs w:val="0"/>
          <w:color w:val="auto"/>
          <w:sz w:val="24"/>
          <w:szCs w:val="24"/>
          <w:highlight w:val="none"/>
          <w:lang w:eastAsia="zh-CN" w:bidi="zh-CN"/>
        </w:rPr>
      </w:pPr>
      <w:r>
        <w:rPr>
          <w:rFonts w:hint="eastAsia" w:ascii="宋体" w:hAnsi="宋体" w:cs="宋体"/>
          <w:color w:val="auto"/>
          <w:sz w:val="24"/>
          <w:szCs w:val="24"/>
          <w:lang w:bidi="zh-CN"/>
        </w:rPr>
        <w:t>付款方式：运输费由招标方下属二级单位支付，付款方式为当月挂账次月付款(电汇)。</w:t>
      </w:r>
    </w:p>
    <w:p w14:paraId="29F1CE9A">
      <w:pPr>
        <w:widowControl/>
        <w:numPr>
          <w:ilvl w:val="0"/>
          <w:numId w:val="33"/>
        </w:numPr>
        <w:tabs>
          <w:tab w:val="left" w:pos="-420"/>
        </w:tabs>
        <w:spacing w:line="360" w:lineRule="auto"/>
        <w:ind w:left="425" w:hanging="425" w:firstLineChars="0"/>
        <w:rPr>
          <w:rFonts w:hint="eastAsia" w:ascii="宋体" w:hAnsi="宋体" w:eastAsia="宋体" w:cs="宋体"/>
          <w:bCs/>
          <w:color w:val="000000"/>
          <w:sz w:val="24"/>
          <w:szCs w:val="24"/>
          <w:highlight w:val="none"/>
          <w:lang w:eastAsia="zh-CN"/>
        </w:rPr>
      </w:pPr>
      <w:r>
        <w:rPr>
          <w:rFonts w:hint="eastAsia" w:ascii="宋体" w:hAnsi="宋体" w:cs="宋体"/>
          <w:bCs w:val="0"/>
          <w:sz w:val="24"/>
          <w:szCs w:val="24"/>
          <w:highlight w:val="none"/>
          <w:lang w:val="en-US" w:eastAsia="zh-CN" w:bidi="zh-CN"/>
        </w:rPr>
        <w:t>《开</w:t>
      </w:r>
      <w:r>
        <w:rPr>
          <w:rFonts w:hint="eastAsia" w:ascii="宋体" w:hAnsi="宋体" w:cs="宋体"/>
          <w:bCs/>
          <w:color w:val="000000"/>
          <w:sz w:val="24"/>
          <w:szCs w:val="24"/>
          <w:highlight w:val="none"/>
          <w:lang w:val="en-US" w:eastAsia="zh-CN"/>
        </w:rPr>
        <w:t>标一览表》报价说明：</w:t>
      </w:r>
      <w:r>
        <w:rPr>
          <w:rFonts w:hint="eastAsia" w:ascii="宋体" w:hAnsi="宋体" w:cs="宋体"/>
          <w:color w:val="auto"/>
          <w:sz w:val="24"/>
          <w:szCs w:val="24"/>
          <w:highlight w:val="none"/>
          <w:lang w:val="en-US" w:eastAsia="zh-CN" w:bidi="zh-CN"/>
        </w:rPr>
        <w:t>标段1和2使用的</w:t>
      </w:r>
      <w:r>
        <w:rPr>
          <w:rFonts w:hint="eastAsia" w:ascii="宋体" w:hAnsi="宋体" w:cs="宋体"/>
          <w:bCs w:val="0"/>
          <w:color w:val="auto"/>
          <w:sz w:val="24"/>
          <w:szCs w:val="24"/>
          <w:highlight w:val="none"/>
          <w:lang w:val="en-US" w:eastAsia="zh-CN" w:bidi="zh-CN"/>
        </w:rPr>
        <w:t>中置轴板车基价:分别采用济南/重庆为起点的省份价格</w:t>
      </w:r>
      <w:r>
        <w:rPr>
          <w:rFonts w:hint="eastAsia" w:ascii="宋体" w:hAnsi="宋体" w:cs="宋体"/>
          <w:bCs/>
          <w:color w:val="000000"/>
          <w:sz w:val="24"/>
          <w:szCs w:val="24"/>
          <w:highlight w:val="none"/>
          <w:lang w:val="en-US" w:eastAsia="zh-CN"/>
        </w:rPr>
        <w:t>；标段3使用的17.5m板车基价；</w:t>
      </w:r>
    </w:p>
    <w:p w14:paraId="53563BD7">
      <w:pPr>
        <w:widowControl/>
        <w:numPr>
          <w:ilvl w:val="-1"/>
          <w:numId w:val="0"/>
        </w:numPr>
        <w:spacing w:line="360" w:lineRule="auto"/>
        <w:ind w:left="0" w:firstLine="0" w:firstLineChars="0"/>
        <w:rPr>
          <w:rFonts w:hint="eastAsia" w:ascii="宋体" w:hAnsi="宋体" w:eastAsia="宋体" w:cs="宋体"/>
          <w:color w:val="000000"/>
          <w:sz w:val="24"/>
          <w:szCs w:val="24"/>
          <w:highlight w:val="none"/>
          <w:lang w:eastAsia="zh-CN"/>
        </w:rPr>
      </w:pPr>
    </w:p>
    <w:p w14:paraId="12079CA7">
      <w:pPr>
        <w:spacing w:line="360" w:lineRule="auto"/>
        <w:ind w:firstLine="480" w:firstLineChars="200"/>
        <w:rPr>
          <w:rFonts w:hint="eastAsia" w:ascii="宋体" w:hAnsi="宋体" w:cs="宋体"/>
          <w:color w:val="000000"/>
          <w:sz w:val="24"/>
          <w:szCs w:val="24"/>
        </w:rPr>
      </w:pPr>
    </w:p>
    <w:p w14:paraId="64BFF72E">
      <w:pPr>
        <w:spacing w:line="360" w:lineRule="auto"/>
        <w:rPr>
          <w:rFonts w:ascii="宋体" w:hAnsi="宋体" w:cs="宋体"/>
          <w:b/>
          <w:bCs/>
          <w:color w:val="000000"/>
          <w:sz w:val="24"/>
          <w:szCs w:val="24"/>
        </w:rPr>
      </w:pPr>
    </w:p>
    <w:p w14:paraId="7F552D80">
      <w:pPr>
        <w:spacing w:line="360" w:lineRule="auto"/>
        <w:ind w:left="420" w:leftChars="200" w:firstLine="480" w:firstLineChars="200"/>
        <w:rPr>
          <w:rFonts w:ascii="宋体" w:hAnsi="宋体" w:cs="宋体"/>
          <w:color w:val="000000"/>
          <w:sz w:val="24"/>
          <w:szCs w:val="24"/>
          <w:highlight w:val="yellow"/>
        </w:rPr>
      </w:pPr>
    </w:p>
    <w:p w14:paraId="0A7631D7">
      <w:pPr>
        <w:pStyle w:val="15"/>
        <w:spacing w:line="360" w:lineRule="auto"/>
        <w:ind w:left="420"/>
      </w:pPr>
      <w:bookmarkStart w:id="189" w:name="_Toc18885"/>
      <w:bookmarkStart w:id="190" w:name="_Toc3351"/>
      <w:bookmarkStart w:id="191" w:name="_Toc22956"/>
      <w:bookmarkStart w:id="192" w:name="_Toc31141"/>
      <w:bookmarkStart w:id="193" w:name="_Toc26576"/>
      <w:r>
        <w:rPr>
          <w:rFonts w:hint="eastAsia"/>
        </w:rPr>
        <w:t>报价及</w:t>
      </w:r>
      <w:r>
        <w:rPr>
          <w:rFonts w:hint="eastAsia"/>
          <w:lang w:val="en-US" w:eastAsia="zh-CN"/>
        </w:rPr>
        <w:t>管理履约</w:t>
      </w:r>
      <w:r>
        <w:rPr>
          <w:rFonts w:hint="eastAsia"/>
        </w:rPr>
        <w:t>要求</w:t>
      </w:r>
      <w:bookmarkEnd w:id="189"/>
      <w:bookmarkEnd w:id="190"/>
      <w:bookmarkEnd w:id="191"/>
      <w:bookmarkEnd w:id="192"/>
      <w:bookmarkEnd w:id="193"/>
    </w:p>
    <w:p w14:paraId="4658EE17">
      <w:pPr>
        <w:pStyle w:val="3"/>
        <w:numPr>
          <w:ilvl w:val="0"/>
          <w:numId w:val="0"/>
        </w:numPr>
        <w:spacing w:before="0" w:beforeLines="0" w:line="360" w:lineRule="auto"/>
        <w:ind w:left="420" w:leftChars="200"/>
        <w:rPr>
          <w:rFonts w:ascii="宋体" w:hAnsi="宋体" w:cs="宋体"/>
          <w:color w:val="000000"/>
          <w:sz w:val="24"/>
          <w:szCs w:val="32"/>
        </w:rPr>
      </w:pPr>
      <w:bookmarkStart w:id="194" w:name="_Toc3747"/>
      <w:bookmarkStart w:id="195" w:name="_Toc9114"/>
      <w:bookmarkStart w:id="196" w:name="_Toc18679"/>
      <w:bookmarkStart w:id="197" w:name="_Toc9575"/>
      <w:r>
        <w:rPr>
          <w:rFonts w:hint="eastAsia"/>
          <w:sz w:val="28"/>
          <w:szCs w:val="28"/>
        </w:rPr>
        <w:t xml:space="preserve">4.1 </w:t>
      </w:r>
      <w:r>
        <w:rPr>
          <w:rFonts w:hint="eastAsia" w:ascii="宋体" w:hAnsi="宋体" w:cs="宋体"/>
          <w:color w:val="000000"/>
          <w:sz w:val="28"/>
          <w:szCs w:val="28"/>
        </w:rPr>
        <w:t>报价要求</w:t>
      </w:r>
      <w:bookmarkEnd w:id="194"/>
      <w:bookmarkEnd w:id="195"/>
      <w:bookmarkEnd w:id="196"/>
      <w:bookmarkEnd w:id="197"/>
    </w:p>
    <w:p w14:paraId="6D833F97">
      <w:pPr>
        <w:numPr>
          <w:ilvl w:val="0"/>
          <w:numId w:val="35"/>
        </w:numPr>
        <w:spacing w:line="360" w:lineRule="auto"/>
        <w:ind w:left="425" w:hanging="425" w:firstLineChars="0"/>
        <w:rPr>
          <w:rFonts w:hint="eastAsia" w:ascii="宋体" w:hAnsi="宋体" w:cs="宋体"/>
          <w:color w:val="000000"/>
          <w:sz w:val="24"/>
          <w:szCs w:val="24"/>
        </w:rPr>
      </w:pPr>
      <w:r>
        <w:rPr>
          <w:rFonts w:hint="eastAsia" w:ascii="宋体" w:hAnsi="宋体" w:cs="宋体"/>
          <w:strike w:val="0"/>
          <w:color w:val="000000"/>
          <w:sz w:val="24"/>
          <w:szCs w:val="24"/>
          <w:lang w:val="en-US" w:eastAsia="zh-CN"/>
        </w:rPr>
        <w:t>所有报价都必须在附件2《开标一览表》填报，其他文件处的报价一概无效。</w:t>
      </w:r>
    </w:p>
    <w:p w14:paraId="455C2202">
      <w:pPr>
        <w:numPr>
          <w:ilvl w:val="0"/>
          <w:numId w:val="35"/>
        </w:numPr>
        <w:spacing w:line="360" w:lineRule="auto"/>
        <w:ind w:left="425" w:hanging="425" w:firstLineChars="0"/>
        <w:rPr>
          <w:rFonts w:hint="eastAsia" w:ascii="宋体" w:hAnsi="宋体" w:cs="宋体"/>
          <w:color w:val="000000"/>
          <w:sz w:val="24"/>
          <w:szCs w:val="24"/>
        </w:rPr>
      </w:pPr>
      <w:r>
        <w:rPr>
          <w:rFonts w:hint="eastAsia" w:ascii="宋体" w:hAnsi="宋体" w:cs="宋体"/>
          <w:color w:val="000000"/>
          <w:sz w:val="24"/>
          <w:szCs w:val="24"/>
          <w:lang w:val="en-US" w:eastAsia="zh-CN"/>
        </w:rPr>
        <w:t>标段1、2、3的意向投标人</w:t>
      </w:r>
      <w:r>
        <w:rPr>
          <w:rFonts w:hint="eastAsia" w:ascii="宋体" w:hAnsi="宋体" w:cs="宋体"/>
          <w:color w:val="000000"/>
          <w:sz w:val="24"/>
          <w:szCs w:val="24"/>
          <w:highlight w:val="none"/>
          <w:lang w:val="en-US" w:eastAsia="zh-CN"/>
        </w:rPr>
        <w:t>，需要对标段项下每一项内容对应的单价进行报价，</w:t>
      </w:r>
      <w:r>
        <w:rPr>
          <w:rFonts w:hint="eastAsia" w:ascii="宋体" w:hAnsi="宋体" w:cs="宋体"/>
          <w:bCs/>
          <w:color w:val="000000"/>
          <w:sz w:val="24"/>
          <w:szCs w:val="24"/>
          <w:highlight w:val="none"/>
          <w:lang w:val="en-US" w:eastAsia="zh-CN"/>
        </w:rPr>
        <w:t>报价</w:t>
      </w:r>
      <w:r>
        <w:rPr>
          <w:rFonts w:hint="eastAsia" w:ascii="宋体" w:hAnsi="宋体" w:cs="宋体"/>
          <w:kern w:val="0"/>
          <w:sz w:val="24"/>
        </w:rPr>
        <w:t>保留小数点后</w:t>
      </w:r>
      <w:r>
        <w:rPr>
          <w:rFonts w:hint="eastAsia" w:ascii="宋体" w:hAnsi="宋体" w:cs="宋体"/>
          <w:kern w:val="0"/>
          <w:sz w:val="24"/>
          <w:lang w:val="en-US" w:eastAsia="zh-CN"/>
        </w:rPr>
        <w:t>2</w:t>
      </w:r>
      <w:r>
        <w:rPr>
          <w:rFonts w:hint="eastAsia" w:ascii="宋体" w:hAnsi="宋体" w:cs="宋体"/>
          <w:kern w:val="0"/>
          <w:sz w:val="24"/>
        </w:rPr>
        <w:t>位数字</w:t>
      </w:r>
      <w:r>
        <w:rPr>
          <w:rFonts w:hint="eastAsia" w:ascii="宋体" w:hAnsi="宋体" w:cs="宋体"/>
          <w:sz w:val="24"/>
          <w:szCs w:val="24"/>
          <w:lang w:val="en-US" w:eastAsia="zh-CN"/>
        </w:rPr>
        <w:t>。</w:t>
      </w:r>
      <w:r>
        <w:rPr>
          <w:rFonts w:hint="eastAsia" w:ascii="宋体" w:hAnsi="宋体" w:cs="宋体"/>
          <w:color w:val="000000"/>
          <w:sz w:val="24"/>
          <w:szCs w:val="24"/>
          <w:lang w:val="en-US" w:eastAsia="zh-CN"/>
        </w:rPr>
        <w:t>如有漏报少报，该标段视为无效投标</w:t>
      </w:r>
      <w:r>
        <w:rPr>
          <w:rFonts w:hint="eastAsia" w:ascii="宋体" w:hAnsi="宋体" w:cs="宋体"/>
          <w:color w:val="000000"/>
          <w:sz w:val="24"/>
          <w:szCs w:val="24"/>
          <w:highlight w:val="none"/>
          <w:lang w:eastAsia="zh-CN"/>
        </w:rPr>
        <w:t>。</w:t>
      </w:r>
    </w:p>
    <w:p w14:paraId="3D72D422">
      <w:pPr>
        <w:numPr>
          <w:ilvl w:val="0"/>
          <w:numId w:val="35"/>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投标人</w:t>
      </w:r>
      <w:r>
        <w:rPr>
          <w:rFonts w:hint="eastAsia" w:ascii="宋体" w:hAnsi="宋体" w:cs="宋体"/>
          <w:color w:val="000000"/>
          <w:sz w:val="24"/>
          <w:szCs w:val="24"/>
          <w:lang w:val="en-US" w:eastAsia="zh-CN"/>
        </w:rPr>
        <w:t>必须对每一标段</w:t>
      </w:r>
      <w:r>
        <w:rPr>
          <w:rFonts w:hint="eastAsia" w:ascii="宋体" w:hAnsi="宋体" w:cs="宋体"/>
          <w:color w:val="000000"/>
          <w:sz w:val="24"/>
          <w:szCs w:val="24"/>
        </w:rPr>
        <w:t>进行报价</w:t>
      </w:r>
      <w:r>
        <w:rPr>
          <w:rFonts w:hint="eastAsia" w:ascii="宋体" w:hAnsi="宋体" w:cs="宋体"/>
          <w:color w:val="000000"/>
          <w:sz w:val="24"/>
          <w:szCs w:val="24"/>
          <w:lang w:val="en-US" w:eastAsia="zh-CN"/>
        </w:rPr>
        <w:t>。</w:t>
      </w:r>
      <w:r>
        <w:rPr>
          <w:rFonts w:hint="eastAsia" w:ascii="宋体" w:hAnsi="宋体" w:cs="宋体"/>
          <w:color w:val="000000"/>
          <w:sz w:val="24"/>
          <w:szCs w:val="24"/>
        </w:rPr>
        <w:t xml:space="preserve">           </w:t>
      </w:r>
    </w:p>
    <w:p w14:paraId="6F8D25EE">
      <w:pPr>
        <w:numPr>
          <w:ilvl w:val="0"/>
          <w:numId w:val="35"/>
        </w:numPr>
        <w:spacing w:line="360" w:lineRule="auto"/>
        <w:ind w:left="425" w:hanging="425"/>
        <w:rPr>
          <w:rFonts w:hint="eastAsia" w:ascii="宋体" w:hAnsi="宋体" w:cs="宋体"/>
          <w:color w:val="000000"/>
          <w:sz w:val="24"/>
          <w:szCs w:val="24"/>
          <w:highlight w:val="none"/>
        </w:rPr>
      </w:pPr>
      <w:r>
        <w:rPr>
          <w:rFonts w:hint="eastAsia" w:ascii="宋体" w:hAnsi="宋体" w:cs="宋体"/>
          <w:color w:val="000000"/>
          <w:sz w:val="24"/>
          <w:szCs w:val="24"/>
          <w:highlight w:val="none"/>
        </w:rPr>
        <w:t>与招标人签署《商品车运输合同》，合同有效期</w:t>
      </w:r>
      <w:r>
        <w:rPr>
          <w:rFonts w:hint="eastAsia" w:ascii="宋体" w:hAnsi="宋体" w:cs="宋体"/>
          <w:color w:val="000000"/>
          <w:sz w:val="24"/>
          <w:szCs w:val="24"/>
          <w:highlight w:val="none"/>
          <w:lang w:val="en-US" w:eastAsia="zh-CN"/>
        </w:rPr>
        <w:t>一年</w:t>
      </w:r>
      <w:r>
        <w:rPr>
          <w:rFonts w:hint="eastAsia" w:ascii="宋体" w:hAnsi="宋体" w:cs="宋体"/>
          <w:color w:val="000000"/>
          <w:sz w:val="24"/>
          <w:szCs w:val="24"/>
          <w:highlight w:val="none"/>
        </w:rPr>
        <w:t>。由于</w:t>
      </w:r>
      <w:r>
        <w:rPr>
          <w:rFonts w:hint="eastAsia" w:ascii="宋体" w:hAnsi="宋体" w:cs="宋体"/>
          <w:color w:val="000000"/>
          <w:sz w:val="24"/>
          <w:szCs w:val="24"/>
          <w:highlight w:val="none"/>
          <w:lang w:eastAsia="zh-CN"/>
        </w:rPr>
        <w:t>中标</w:t>
      </w:r>
      <w:r>
        <w:rPr>
          <w:rFonts w:hint="eastAsia" w:ascii="宋体" w:hAnsi="宋体" w:cs="宋体"/>
          <w:color w:val="000000"/>
          <w:sz w:val="24"/>
          <w:szCs w:val="24"/>
          <w:highlight w:val="none"/>
          <w:lang w:val="en-US" w:eastAsia="zh-CN"/>
        </w:rPr>
        <w:t>人</w:t>
      </w:r>
      <w:r>
        <w:rPr>
          <w:rFonts w:hint="eastAsia" w:ascii="宋体" w:hAnsi="宋体" w:cs="宋体"/>
          <w:color w:val="000000"/>
          <w:sz w:val="24"/>
          <w:szCs w:val="24"/>
          <w:highlight w:val="none"/>
        </w:rPr>
        <w:t>的原因不能按规定签署或履行合同的，招标人将取消</w:t>
      </w:r>
      <w:r>
        <w:rPr>
          <w:rFonts w:hint="eastAsia" w:ascii="宋体" w:hAnsi="宋体" w:cs="宋体"/>
          <w:color w:val="000000"/>
          <w:sz w:val="24"/>
          <w:szCs w:val="24"/>
          <w:highlight w:val="none"/>
          <w:lang w:val="en-US" w:eastAsia="zh-CN"/>
        </w:rPr>
        <w:t>其</w:t>
      </w:r>
      <w:r>
        <w:rPr>
          <w:rFonts w:hint="eastAsia" w:ascii="宋体" w:hAnsi="宋体" w:cs="宋体"/>
          <w:color w:val="000000"/>
          <w:sz w:val="24"/>
          <w:szCs w:val="24"/>
          <w:highlight w:val="none"/>
        </w:rPr>
        <w:t>中标资格</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并扣除投标保证金</w:t>
      </w:r>
      <w:r>
        <w:rPr>
          <w:rFonts w:hint="eastAsia" w:ascii="宋体" w:hAnsi="宋体" w:cs="宋体"/>
          <w:color w:val="000000"/>
          <w:sz w:val="24"/>
          <w:szCs w:val="24"/>
          <w:highlight w:val="none"/>
        </w:rPr>
        <w:t>。</w:t>
      </w:r>
    </w:p>
    <w:p w14:paraId="6EAAD993">
      <w:pPr>
        <w:numPr>
          <w:ilvl w:val="0"/>
          <w:numId w:val="35"/>
        </w:numPr>
        <w:spacing w:line="360" w:lineRule="auto"/>
        <w:ind w:left="425" w:hanging="425"/>
        <w:rPr>
          <w:rFonts w:hint="eastAsia"/>
          <w:highlight w:val="none"/>
        </w:rPr>
      </w:pPr>
      <w:r>
        <w:rPr>
          <w:rFonts w:hint="eastAsia" w:ascii="宋体" w:hAnsi="宋体" w:cs="宋体"/>
          <w:color w:val="000000"/>
          <w:sz w:val="24"/>
          <w:szCs w:val="24"/>
          <w:highlight w:val="none"/>
        </w:rPr>
        <w:t>本招标</w:t>
      </w:r>
      <w:r>
        <w:rPr>
          <w:rFonts w:hint="eastAsia" w:ascii="宋体" w:hAnsi="宋体" w:cs="宋体"/>
          <w:color w:val="000000"/>
          <w:sz w:val="24"/>
          <w:szCs w:val="24"/>
          <w:highlight w:val="none"/>
          <w:lang w:val="en-US" w:eastAsia="zh-CN"/>
        </w:rPr>
        <w:t>文件</w:t>
      </w:r>
      <w:r>
        <w:rPr>
          <w:rFonts w:hint="eastAsia" w:ascii="宋体" w:hAnsi="宋体" w:cs="宋体"/>
          <w:color w:val="000000"/>
          <w:sz w:val="24"/>
          <w:szCs w:val="24"/>
          <w:highlight w:val="none"/>
        </w:rPr>
        <w:t>涉及的</w:t>
      </w:r>
      <w:r>
        <w:rPr>
          <w:rFonts w:hint="eastAsia" w:ascii="宋体" w:hAnsi="宋体" w:cs="宋体"/>
          <w:color w:val="000000"/>
          <w:sz w:val="24"/>
          <w:szCs w:val="24"/>
          <w:highlight w:val="none"/>
          <w:lang w:val="en-US" w:eastAsia="zh-CN"/>
        </w:rPr>
        <w:t>基</w:t>
      </w:r>
      <w:r>
        <w:rPr>
          <w:rFonts w:hint="eastAsia" w:ascii="宋体" w:hAnsi="宋体" w:cs="宋体"/>
          <w:color w:val="000000"/>
          <w:sz w:val="24"/>
          <w:szCs w:val="24"/>
          <w:highlight w:val="none"/>
        </w:rPr>
        <w:t>价为</w:t>
      </w:r>
      <w:r>
        <w:rPr>
          <w:rFonts w:hint="eastAsia" w:ascii="宋体" w:hAnsi="宋体" w:cs="宋体"/>
          <w:color w:val="000000"/>
          <w:sz w:val="24"/>
          <w:szCs w:val="24"/>
          <w:highlight w:val="none"/>
          <w:lang w:val="en-US" w:eastAsia="zh-CN"/>
        </w:rPr>
        <w:t>不含税</w:t>
      </w:r>
      <w:r>
        <w:rPr>
          <w:rFonts w:hint="eastAsia" w:ascii="宋体" w:hAnsi="宋体" w:cs="宋体"/>
          <w:color w:val="000000"/>
          <w:sz w:val="24"/>
          <w:szCs w:val="24"/>
          <w:highlight w:val="none"/>
        </w:rPr>
        <w:t>9%的价格，</w:t>
      </w:r>
      <w:r>
        <w:rPr>
          <w:rFonts w:hint="eastAsia" w:ascii="宋体" w:hAnsi="宋体" w:cs="宋体"/>
          <w:color w:val="000000"/>
          <w:sz w:val="24"/>
          <w:szCs w:val="24"/>
          <w:highlight w:val="none"/>
          <w:lang w:val="en-US" w:eastAsia="zh-CN"/>
        </w:rPr>
        <w:t>特殊业务场景费用为含税9%的价格。</w:t>
      </w:r>
      <w:r>
        <w:rPr>
          <w:rFonts w:hint="eastAsia" w:ascii="宋体" w:hAnsi="宋体" w:cs="宋体"/>
          <w:color w:val="000000"/>
          <w:sz w:val="24"/>
          <w:szCs w:val="24"/>
          <w:highlight w:val="none"/>
        </w:rPr>
        <w:t>若遇国家增值税税率调整，应按调整后最新税率的金额调整相应的支付款项，</w:t>
      </w:r>
      <w:r>
        <w:rPr>
          <w:rFonts w:hint="eastAsia" w:ascii="宋体" w:hAnsi="宋体" w:cs="宋体"/>
          <w:sz w:val="24"/>
          <w:szCs w:val="24"/>
          <w:highlight w:val="none"/>
        </w:rPr>
        <w:t>即合同含税价格不受国家增值税税率调整的影响。</w:t>
      </w:r>
    </w:p>
    <w:p w14:paraId="13ACE20E">
      <w:pPr>
        <w:pStyle w:val="3"/>
        <w:numPr>
          <w:ilvl w:val="0"/>
          <w:numId w:val="0"/>
        </w:numPr>
        <w:spacing w:before="0" w:beforeLines="0" w:line="360" w:lineRule="auto"/>
        <w:ind w:left="420" w:leftChars="200"/>
        <w:rPr>
          <w:rFonts w:hint="eastAsia" w:ascii="宋体" w:hAnsi="宋体" w:cs="宋体"/>
          <w:color w:val="000000"/>
          <w:sz w:val="28"/>
          <w:szCs w:val="28"/>
          <w:highlight w:val="none"/>
        </w:rPr>
      </w:pPr>
      <w:bookmarkStart w:id="198" w:name="_Toc8116"/>
      <w:bookmarkStart w:id="199" w:name="_Toc1510"/>
      <w:r>
        <w:rPr>
          <w:rFonts w:hint="eastAsia"/>
          <w:sz w:val="28"/>
          <w:szCs w:val="28"/>
          <w:highlight w:val="none"/>
        </w:rPr>
        <w:t>4.</w:t>
      </w:r>
      <w:r>
        <w:rPr>
          <w:rFonts w:hint="eastAsia"/>
          <w:sz w:val="28"/>
          <w:szCs w:val="28"/>
          <w:highlight w:val="none"/>
          <w:lang w:val="en-US" w:eastAsia="zh-CN"/>
        </w:rPr>
        <w:t>2</w:t>
      </w:r>
      <w:r>
        <w:rPr>
          <w:rFonts w:hint="eastAsia" w:ascii="宋体" w:hAnsi="宋体" w:cs="宋体"/>
          <w:color w:val="000000"/>
          <w:sz w:val="28"/>
          <w:szCs w:val="28"/>
          <w:highlight w:val="none"/>
          <w:lang w:val="en-US" w:eastAsia="zh-CN"/>
        </w:rPr>
        <w:t>管理和履约</w:t>
      </w:r>
      <w:r>
        <w:rPr>
          <w:rFonts w:hint="eastAsia" w:ascii="宋体" w:hAnsi="宋体" w:cs="宋体"/>
          <w:color w:val="000000"/>
          <w:sz w:val="28"/>
          <w:szCs w:val="28"/>
          <w:highlight w:val="none"/>
        </w:rPr>
        <w:t>要求</w:t>
      </w:r>
      <w:bookmarkEnd w:id="198"/>
    </w:p>
    <w:p w14:paraId="7189FC43">
      <w:pPr>
        <w:pStyle w:val="3"/>
        <w:numPr>
          <w:ilvl w:val="0"/>
          <w:numId w:val="0"/>
        </w:numPr>
        <w:spacing w:before="0" w:beforeLines="0" w:line="360" w:lineRule="auto"/>
        <w:ind w:left="0" w:leftChars="0" w:firstLine="480" w:firstLineChars="200"/>
        <w:rPr>
          <w:rFonts w:hint="eastAsia" w:ascii="宋体" w:hAnsi="宋体" w:eastAsia="宋体" w:cs="宋体"/>
          <w:b w:val="0"/>
          <w:color w:val="auto"/>
          <w:sz w:val="24"/>
          <w:szCs w:val="24"/>
          <w:highlight w:val="none"/>
          <w:lang w:val="en-US" w:eastAsia="zh-CN"/>
        </w:rPr>
      </w:pPr>
      <w:r>
        <w:rPr>
          <w:rFonts w:hint="eastAsia" w:ascii="宋体" w:hAnsi="宋体" w:cs="宋体"/>
          <w:b w:val="0"/>
          <w:sz w:val="24"/>
          <w:szCs w:val="24"/>
          <w:highlight w:val="none"/>
          <w:lang w:val="en-US" w:eastAsia="zh-CN"/>
        </w:rPr>
        <w:t>管理要求及追责细则详见</w:t>
      </w:r>
      <w:r>
        <w:rPr>
          <w:rFonts w:hint="eastAsia" w:ascii="宋体" w:hAnsi="宋体" w:cs="宋体"/>
          <w:b w:val="0"/>
          <w:color w:val="auto"/>
          <w:sz w:val="24"/>
          <w:szCs w:val="24"/>
          <w:highlight w:val="none"/>
          <w:lang w:val="en-US" w:eastAsia="zh-CN"/>
        </w:rPr>
        <w:t>《整车发运违约追责管理办法》；合同期内，招标人上级集团或业务相关的二级单位有权对该管理办法进行适应性修改</w:t>
      </w:r>
      <w:r>
        <w:rPr>
          <w:rFonts w:hint="eastAsia" w:ascii="宋体" w:hAnsi="宋体" w:cs="宋体"/>
          <w:b w:val="0"/>
          <w:sz w:val="24"/>
          <w:szCs w:val="24"/>
          <w:highlight w:val="none"/>
          <w:lang w:val="en-US" w:eastAsia="zh-CN"/>
        </w:rPr>
        <w:t>。</w:t>
      </w:r>
      <w:bookmarkEnd w:id="199"/>
    </w:p>
    <w:p w14:paraId="1FB26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p>
    <w:p w14:paraId="1B36D4D8"/>
    <w:p w14:paraId="70D8F430">
      <w:pPr>
        <w:pStyle w:val="15"/>
        <w:spacing w:line="360" w:lineRule="auto"/>
        <w:ind w:left="420"/>
        <w:rPr>
          <w:rFonts w:hint="eastAsia"/>
        </w:rPr>
      </w:pPr>
      <w:bookmarkStart w:id="200" w:name="_Toc13602"/>
      <w:bookmarkStart w:id="201" w:name="_Toc17556"/>
      <w:bookmarkStart w:id="202" w:name="_Toc21399"/>
      <w:bookmarkStart w:id="203" w:name="_Toc5933"/>
      <w:bookmarkStart w:id="204" w:name="_Toc30089"/>
      <w:r>
        <w:rPr>
          <w:rFonts w:hint="eastAsia"/>
        </w:rPr>
        <w:t>评分标准</w:t>
      </w:r>
      <w:bookmarkEnd w:id="200"/>
      <w:bookmarkEnd w:id="201"/>
      <w:bookmarkEnd w:id="202"/>
      <w:bookmarkEnd w:id="203"/>
      <w:bookmarkEnd w:id="204"/>
    </w:p>
    <w:p w14:paraId="2CD9DF9D">
      <w:pPr>
        <w:spacing w:line="360" w:lineRule="auto"/>
        <w:ind w:firstLine="482"/>
        <w:rPr>
          <w:rFonts w:hint="eastAsia" w:ascii="宋体" w:hAnsi="宋体" w:cs="宋体"/>
          <w:kern w:val="2"/>
          <w:sz w:val="24"/>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w:t>
      </w:r>
    </w:p>
    <w:p w14:paraId="22661D8B">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rPr>
        <w:t>首先进行资质审查，符合资质的</w:t>
      </w:r>
      <w:r>
        <w:rPr>
          <w:rFonts w:hint="eastAsia" w:ascii="宋体" w:hAnsi="宋体" w:cs="宋体"/>
          <w:kern w:val="2"/>
          <w:sz w:val="24"/>
          <w:lang w:eastAsia="zh-CN"/>
        </w:rPr>
        <w:t>投标人</w:t>
      </w:r>
      <w:r>
        <w:rPr>
          <w:rFonts w:hint="eastAsia" w:ascii="宋体" w:hAnsi="宋体" w:cs="宋体"/>
          <w:kern w:val="2"/>
          <w:sz w:val="24"/>
        </w:rPr>
        <w:t>进入</w:t>
      </w:r>
      <w:r>
        <w:rPr>
          <w:rFonts w:hint="eastAsia" w:ascii="宋体" w:hAnsi="宋体" w:cs="宋体"/>
          <w:kern w:val="2"/>
          <w:sz w:val="24"/>
          <w:lang w:val="en-US" w:eastAsia="zh-CN"/>
        </w:rPr>
        <w:t>后续环节</w:t>
      </w:r>
      <w:r>
        <w:rPr>
          <w:rFonts w:hint="eastAsia" w:ascii="宋体" w:hAnsi="宋体" w:cs="宋体"/>
          <w:kern w:val="2"/>
          <w:sz w:val="24"/>
          <w:lang w:eastAsia="zh-CN"/>
        </w:rPr>
        <w:t>。</w:t>
      </w:r>
    </w:p>
    <w:p w14:paraId="31C0188C">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lang w:val="en-US" w:eastAsia="zh-CN"/>
        </w:rPr>
        <w:t>在</w:t>
      </w:r>
      <w:r>
        <w:rPr>
          <w:rFonts w:hint="eastAsia" w:ascii="宋体" w:hAnsi="宋体" w:cs="宋体"/>
          <w:kern w:val="2"/>
          <w:sz w:val="24"/>
        </w:rPr>
        <w:t>技术评标</w:t>
      </w:r>
      <w:r>
        <w:rPr>
          <w:rFonts w:hint="eastAsia" w:ascii="宋体" w:hAnsi="宋体" w:cs="宋体"/>
          <w:kern w:val="2"/>
          <w:sz w:val="24"/>
          <w:lang w:val="en-US" w:eastAsia="zh-CN"/>
        </w:rPr>
        <w:t>环节，</w:t>
      </w:r>
      <w:r>
        <w:rPr>
          <w:rFonts w:hint="eastAsia" w:ascii="宋体" w:hAnsi="宋体" w:cs="宋体"/>
          <w:kern w:val="2"/>
          <w:sz w:val="24"/>
        </w:rPr>
        <w:t>技术评标专家组对所有</w:t>
      </w:r>
      <w:r>
        <w:rPr>
          <w:rFonts w:hint="eastAsia" w:ascii="宋体" w:hAnsi="宋体" w:cs="宋体"/>
          <w:kern w:val="2"/>
          <w:sz w:val="24"/>
          <w:lang w:val="en-US" w:eastAsia="zh-CN"/>
        </w:rPr>
        <w:t>入围</w:t>
      </w:r>
      <w:r>
        <w:rPr>
          <w:rFonts w:hint="eastAsia" w:ascii="宋体" w:hAnsi="宋体" w:cs="宋体"/>
          <w:kern w:val="2"/>
          <w:sz w:val="24"/>
          <w:lang w:eastAsia="zh-CN"/>
        </w:rPr>
        <w:t>投标人</w:t>
      </w:r>
      <w:r>
        <w:rPr>
          <w:rFonts w:hint="eastAsia" w:ascii="宋体" w:hAnsi="宋体" w:cs="宋体"/>
          <w:kern w:val="2"/>
          <w:sz w:val="24"/>
        </w:rPr>
        <w:t>的技术标部分</w:t>
      </w:r>
      <w:r>
        <w:rPr>
          <w:rFonts w:hint="eastAsia" w:ascii="宋体" w:hAnsi="宋体" w:cs="宋体"/>
          <w:kern w:val="2"/>
          <w:sz w:val="24"/>
          <w:lang w:val="en-US" w:eastAsia="zh-CN"/>
        </w:rPr>
        <w:t>进行</w:t>
      </w:r>
      <w:r>
        <w:rPr>
          <w:rFonts w:hint="eastAsia" w:ascii="宋体" w:hAnsi="宋体" w:cs="宋体"/>
          <w:kern w:val="2"/>
          <w:sz w:val="24"/>
        </w:rPr>
        <w:t>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由评标专家组根据评标现场情况确定入围名单。</w:t>
      </w:r>
    </w:p>
    <w:p w14:paraId="35D5BAD2">
      <w:pPr>
        <w:numPr>
          <w:ilvl w:val="0"/>
          <w:numId w:val="36"/>
        </w:numPr>
        <w:spacing w:line="360" w:lineRule="auto"/>
        <w:ind w:left="425" w:hanging="425"/>
        <w:rPr>
          <w:rFonts w:hint="eastAsia" w:ascii="宋体" w:hAnsi="宋体" w:cs="宋体"/>
          <w:kern w:val="2"/>
          <w:sz w:val="24"/>
          <w:highlight w:val="none"/>
          <w:lang w:val="en-US" w:eastAsia="zh-CN"/>
        </w:rPr>
      </w:pPr>
      <w:r>
        <w:rPr>
          <w:rFonts w:hint="eastAsia" w:ascii="宋体" w:hAnsi="宋体" w:cs="宋体"/>
          <w:color w:val="auto"/>
          <w:kern w:val="2"/>
          <w:sz w:val="24"/>
          <w:highlight w:val="none"/>
          <w:lang w:val="en-US" w:eastAsia="zh-CN"/>
        </w:rPr>
        <w:t>在商务竞价环节，</w:t>
      </w:r>
      <w:r>
        <w:rPr>
          <w:rFonts w:hint="eastAsia" w:ascii="宋体" w:hAnsi="宋体" w:cs="宋体"/>
          <w:color w:val="auto"/>
          <w:kern w:val="2"/>
          <w:sz w:val="24"/>
          <w:highlight w:val="none"/>
        </w:rPr>
        <w:t>招标人有权根据项目情况，采取多轮</w:t>
      </w:r>
      <w:r>
        <w:rPr>
          <w:rFonts w:hint="eastAsia" w:ascii="宋体" w:hAnsi="宋体" w:cs="宋体"/>
          <w:color w:val="auto"/>
          <w:kern w:val="2"/>
          <w:sz w:val="24"/>
          <w:highlight w:val="none"/>
          <w:lang w:val="en-US" w:eastAsia="zh-CN"/>
        </w:rPr>
        <w:t>竞价</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评审专家组根据投标人的报价进行排名，确定入围数量；</w:t>
      </w:r>
    </w:p>
    <w:p w14:paraId="05984B24">
      <w:pPr>
        <w:numPr>
          <w:ilvl w:val="0"/>
          <w:numId w:val="36"/>
        </w:numPr>
        <w:spacing w:line="360" w:lineRule="auto"/>
        <w:ind w:left="425" w:hanging="425"/>
        <w:rPr>
          <w:rFonts w:hint="eastAsia" w:ascii="宋体" w:hAnsi="宋体" w:cs="宋体"/>
          <w:kern w:val="2"/>
          <w:sz w:val="24"/>
          <w:highlight w:val="none"/>
        </w:rPr>
      </w:pPr>
      <w:r>
        <w:rPr>
          <w:rFonts w:hint="eastAsia" w:ascii="宋体" w:hAnsi="宋体" w:cs="宋体"/>
          <w:kern w:val="2"/>
          <w:sz w:val="24"/>
          <w:highlight w:val="none"/>
          <w:lang w:val="en-US" w:eastAsia="zh-CN"/>
        </w:rPr>
        <w:t>按照“最终得分=技术标（20%）+商务标（80%）”的规则，评审专家组拟定推荐中标人</w:t>
      </w:r>
      <w:r>
        <w:rPr>
          <w:rFonts w:hint="eastAsia" w:ascii="宋体" w:hAnsi="宋体" w:cs="宋体"/>
          <w:kern w:val="2"/>
          <w:sz w:val="24"/>
          <w:highlight w:val="none"/>
        </w:rPr>
        <w:t>。</w:t>
      </w:r>
    </w:p>
    <w:p w14:paraId="1D6410A4">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highlight w:val="none"/>
          <w:lang w:val="en-US" w:eastAsia="zh-CN"/>
        </w:rPr>
        <w:t>技术评标细则如下表所示；商务标计分方法：投标最低价/投标人当前报价×80分；</w:t>
      </w:r>
      <w:r>
        <w:rPr>
          <w:rFonts w:hint="eastAsia" w:ascii="宋体" w:hAnsi="宋体" w:cs="宋体"/>
          <w:kern w:val="0"/>
          <w:sz w:val="24"/>
        </w:rPr>
        <w:t>最终得分保留小数点后</w:t>
      </w:r>
      <w:r>
        <w:rPr>
          <w:rFonts w:hint="eastAsia" w:ascii="宋体" w:hAnsi="宋体" w:cs="宋体"/>
          <w:kern w:val="0"/>
          <w:sz w:val="24"/>
          <w:lang w:val="en-US" w:eastAsia="zh-CN"/>
        </w:rPr>
        <w:t>1</w:t>
      </w:r>
      <w:r>
        <w:rPr>
          <w:rFonts w:hint="eastAsia" w:ascii="宋体" w:hAnsi="宋体" w:cs="宋体"/>
          <w:kern w:val="0"/>
          <w:sz w:val="24"/>
        </w:rPr>
        <w:t>位数字，</w:t>
      </w:r>
      <w:r>
        <w:rPr>
          <w:rFonts w:hint="eastAsia" w:ascii="宋体" w:hAnsi="宋体" w:cs="宋体"/>
          <w:sz w:val="24"/>
          <w:szCs w:val="24"/>
        </w:rPr>
        <w:t>第</w:t>
      </w:r>
      <w:r>
        <w:rPr>
          <w:rFonts w:hint="eastAsia" w:ascii="宋体" w:hAnsi="宋体" w:cs="宋体"/>
          <w:sz w:val="24"/>
          <w:szCs w:val="24"/>
          <w:lang w:val="en-US" w:eastAsia="zh-CN"/>
        </w:rPr>
        <w:t>2</w:t>
      </w:r>
      <w:r>
        <w:rPr>
          <w:rFonts w:hint="eastAsia" w:ascii="宋体" w:hAnsi="宋体" w:cs="宋体"/>
          <w:sz w:val="24"/>
          <w:szCs w:val="24"/>
        </w:rPr>
        <w:t>位</w:t>
      </w:r>
      <w:r>
        <w:rPr>
          <w:rFonts w:hint="eastAsia" w:ascii="宋体" w:hAnsi="宋体" w:cs="宋体"/>
          <w:sz w:val="24"/>
          <w:szCs w:val="24"/>
          <w:lang w:val="en-US" w:eastAsia="zh-CN"/>
        </w:rPr>
        <w:t>按</w:t>
      </w:r>
      <w:r>
        <w:rPr>
          <w:rFonts w:hint="eastAsia" w:ascii="宋体" w:hAnsi="宋体" w:cs="宋体"/>
          <w:sz w:val="24"/>
          <w:szCs w:val="24"/>
        </w:rPr>
        <w:t>四舍五入</w:t>
      </w:r>
      <w:r>
        <w:rPr>
          <w:rFonts w:hint="eastAsia" w:ascii="宋体" w:hAnsi="宋体" w:cs="宋体"/>
          <w:sz w:val="24"/>
          <w:szCs w:val="24"/>
          <w:lang w:val="en-US" w:eastAsia="zh-CN"/>
        </w:rPr>
        <w:t>规则处理</w:t>
      </w:r>
      <w:r>
        <w:rPr>
          <w:rFonts w:hint="eastAsia" w:ascii="宋体" w:hAnsi="宋体" w:cs="宋体"/>
          <w:kern w:val="0"/>
          <w:sz w:val="24"/>
        </w:rPr>
        <w:t>。</w:t>
      </w:r>
    </w:p>
    <w:p w14:paraId="519B9CFD">
      <w:pPr>
        <w:spacing w:line="360" w:lineRule="auto"/>
        <w:ind w:firstLine="482"/>
        <w:rPr>
          <w:rFonts w:hint="eastAsia"/>
          <w:sz w:val="24"/>
          <w:szCs w:val="24"/>
        </w:rPr>
      </w:pPr>
      <w:r>
        <w:rPr>
          <w:rFonts w:hint="eastAsia"/>
          <w:kern w:val="2"/>
          <w:sz w:val="24"/>
          <w:szCs w:val="24"/>
          <w:lang w:val="en-US" w:eastAsia="zh-CN"/>
        </w:rPr>
        <w:t xml:space="preserve"> </w:t>
      </w:r>
      <w:r>
        <w:rPr>
          <w:rFonts w:hint="eastAsia" w:ascii="宋体" w:hAnsi="宋体"/>
          <w:b/>
          <w:bCs/>
          <w:sz w:val="24"/>
          <w:szCs w:val="24"/>
        </w:rPr>
        <w:t>注：</w:t>
      </w:r>
      <w:r>
        <w:rPr>
          <w:rFonts w:hint="eastAsia"/>
          <w:sz w:val="24"/>
          <w:szCs w:val="24"/>
        </w:rPr>
        <w:t>本招标文件的最终解释权归招标人</w:t>
      </w:r>
      <w:r>
        <w:rPr>
          <w:rFonts w:hint="eastAsia"/>
          <w:sz w:val="24"/>
          <w:szCs w:val="24"/>
          <w:lang w:eastAsia="zh-CN"/>
        </w:rPr>
        <w:t>。</w:t>
      </w:r>
      <w:r>
        <w:rPr>
          <w:rFonts w:hint="eastAsia"/>
          <w:sz w:val="24"/>
          <w:szCs w:val="24"/>
        </w:rPr>
        <w:t>当对一个问题有多种解释时</w:t>
      </w:r>
      <w:r>
        <w:rPr>
          <w:rFonts w:hint="eastAsia"/>
          <w:sz w:val="24"/>
          <w:szCs w:val="24"/>
          <w:lang w:eastAsia="zh-CN"/>
        </w:rPr>
        <w:t>，</w:t>
      </w:r>
      <w:r>
        <w:rPr>
          <w:rFonts w:hint="eastAsia"/>
          <w:sz w:val="24"/>
          <w:szCs w:val="24"/>
        </w:rPr>
        <w:t>以招标人的书面解释为准。招标文件</w:t>
      </w:r>
      <w:r>
        <w:rPr>
          <w:rFonts w:hint="eastAsia"/>
          <w:sz w:val="24"/>
          <w:szCs w:val="24"/>
          <w:lang w:val="en-US" w:eastAsia="zh-CN"/>
        </w:rPr>
        <w:t>虽</w:t>
      </w:r>
      <w:r>
        <w:rPr>
          <w:rFonts w:hint="eastAsia"/>
          <w:sz w:val="24"/>
          <w:szCs w:val="24"/>
        </w:rPr>
        <w:t>未做须知明示，</w:t>
      </w:r>
      <w:r>
        <w:rPr>
          <w:rFonts w:hint="eastAsia"/>
          <w:sz w:val="24"/>
          <w:szCs w:val="24"/>
          <w:lang w:val="en-US" w:eastAsia="zh-CN"/>
        </w:rPr>
        <w:t>但</w:t>
      </w:r>
      <w:r>
        <w:rPr>
          <w:rFonts w:hint="eastAsia"/>
          <w:sz w:val="24"/>
          <w:szCs w:val="24"/>
        </w:rPr>
        <w:t>有相关法律法规规定</w:t>
      </w:r>
      <w:r>
        <w:rPr>
          <w:rFonts w:hint="eastAsia"/>
          <w:sz w:val="24"/>
          <w:szCs w:val="24"/>
          <w:lang w:val="en-US" w:eastAsia="zh-CN"/>
        </w:rPr>
        <w:t>时</w:t>
      </w:r>
      <w:r>
        <w:rPr>
          <w:rFonts w:hint="eastAsia"/>
          <w:sz w:val="24"/>
          <w:szCs w:val="24"/>
        </w:rPr>
        <w:t>，招标人对此所做解释以相关的法律法规为依据。</w:t>
      </w:r>
    </w:p>
    <w:p w14:paraId="17D31FEF">
      <w:pPr>
        <w:spacing w:line="360" w:lineRule="auto"/>
        <w:ind w:firstLine="0"/>
        <w:jc w:val="center"/>
        <w:rPr>
          <w:rFonts w:hint="eastAsia" w:eastAsia="宋体"/>
          <w:sz w:val="24"/>
          <w:szCs w:val="24"/>
          <w:lang w:eastAsia="zh-CN"/>
        </w:rPr>
      </w:pPr>
      <w:r>
        <w:rPr>
          <w:rFonts w:hint="eastAsia" w:ascii="宋体" w:hAnsi="宋体" w:cs="宋体"/>
          <w:sz w:val="24"/>
          <w:lang w:val="en-US" w:eastAsia="zh-CN"/>
        </w:rPr>
        <w:t>技术</w:t>
      </w:r>
      <w:r>
        <w:rPr>
          <w:rFonts w:hint="eastAsia" w:ascii="宋体" w:hAnsi="宋体" w:cs="宋体"/>
          <w:sz w:val="24"/>
        </w:rPr>
        <w:t>评</w:t>
      </w:r>
      <w:r>
        <w:rPr>
          <w:rFonts w:hint="eastAsia" w:ascii="宋体" w:hAnsi="宋体" w:cs="宋体"/>
          <w:sz w:val="24"/>
          <w:lang w:val="en-US" w:eastAsia="zh-CN"/>
        </w:rPr>
        <w:t>标</w:t>
      </w:r>
      <w:r>
        <w:rPr>
          <w:rFonts w:hint="eastAsia" w:ascii="宋体" w:hAnsi="宋体" w:cs="宋体"/>
          <w:sz w:val="24"/>
        </w:rPr>
        <w:t>细则</w:t>
      </w:r>
      <w:r>
        <w:rPr>
          <w:rFonts w:hint="eastAsia" w:ascii="宋体" w:hAnsi="宋体" w:cs="宋体"/>
          <w:sz w:val="24"/>
          <w:lang w:eastAsia="zh-CN"/>
        </w:rPr>
        <w:t>（</w:t>
      </w:r>
      <w:r>
        <w:rPr>
          <w:rFonts w:hint="eastAsia" w:ascii="宋体" w:hAnsi="宋体" w:cs="宋体"/>
          <w:sz w:val="24"/>
          <w:lang w:val="en-US" w:eastAsia="zh-CN"/>
        </w:rPr>
        <w:t>同附件8</w:t>
      </w:r>
      <w:r>
        <w:rPr>
          <w:rFonts w:hint="eastAsia" w:ascii="宋体" w:hAnsi="宋体" w:cs="宋体"/>
          <w:sz w:val="24"/>
          <w:lang w:eastAsia="zh-CN"/>
        </w:rPr>
        <w:t>）</w:t>
      </w:r>
    </w:p>
    <w:tbl>
      <w:tblPr>
        <w:tblStyle w:val="1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743"/>
        <w:gridCol w:w="1412"/>
        <w:gridCol w:w="2935"/>
        <w:gridCol w:w="1339"/>
        <w:gridCol w:w="1154"/>
        <w:gridCol w:w="2054"/>
      </w:tblGrid>
      <w:tr w14:paraId="4554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blHeader/>
          <w:jc w:val="center"/>
        </w:trPr>
        <w:tc>
          <w:tcPr>
            <w:tcW w:w="743" w:type="dxa"/>
            <w:tcBorders>
              <w:top w:val="single" w:color="auto" w:sz="12" w:space="0"/>
              <w:left w:val="single" w:color="auto" w:sz="12" w:space="0"/>
              <w:bottom w:val="single" w:color="auto" w:sz="4" w:space="0"/>
              <w:right w:val="single" w:color="auto" w:sz="4" w:space="0"/>
            </w:tcBorders>
            <w:shd w:val="clear" w:color="auto" w:fill="auto"/>
            <w:vAlign w:val="center"/>
          </w:tcPr>
          <w:p w14:paraId="2342924A">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序号</w:t>
            </w:r>
          </w:p>
        </w:tc>
        <w:tc>
          <w:tcPr>
            <w:tcW w:w="1412" w:type="dxa"/>
            <w:tcBorders>
              <w:top w:val="single" w:color="auto" w:sz="12" w:space="0"/>
              <w:left w:val="single" w:color="auto" w:sz="4" w:space="0"/>
              <w:bottom w:val="single" w:color="auto" w:sz="4" w:space="0"/>
              <w:right w:val="single" w:color="auto" w:sz="4" w:space="0"/>
            </w:tcBorders>
            <w:shd w:val="clear" w:color="auto" w:fill="auto"/>
            <w:vAlign w:val="center"/>
          </w:tcPr>
          <w:p w14:paraId="0B191D37">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项目</w:t>
            </w:r>
          </w:p>
        </w:tc>
        <w:tc>
          <w:tcPr>
            <w:tcW w:w="427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3BB6B9EB">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评分标准</w:t>
            </w:r>
          </w:p>
        </w:tc>
        <w:tc>
          <w:tcPr>
            <w:tcW w:w="1154" w:type="dxa"/>
            <w:tcBorders>
              <w:top w:val="single" w:color="auto" w:sz="12" w:space="0"/>
              <w:left w:val="single" w:color="auto" w:sz="4" w:space="0"/>
              <w:bottom w:val="single" w:color="auto" w:sz="4" w:space="0"/>
              <w:right w:val="single" w:color="auto" w:sz="4" w:space="0"/>
            </w:tcBorders>
            <w:shd w:val="clear" w:color="auto" w:fill="auto"/>
            <w:vAlign w:val="center"/>
          </w:tcPr>
          <w:p w14:paraId="1A2684BA">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满分</w:t>
            </w:r>
          </w:p>
        </w:tc>
        <w:tc>
          <w:tcPr>
            <w:tcW w:w="2054" w:type="dxa"/>
            <w:tcBorders>
              <w:top w:val="single" w:color="auto" w:sz="12" w:space="0"/>
              <w:left w:val="single" w:color="auto" w:sz="4" w:space="0"/>
              <w:bottom w:val="single" w:color="auto" w:sz="4" w:space="0"/>
              <w:right w:val="single" w:color="auto" w:sz="12" w:space="0"/>
            </w:tcBorders>
            <w:shd w:val="clear" w:color="auto" w:fill="auto"/>
            <w:vAlign w:val="center"/>
          </w:tcPr>
          <w:p w14:paraId="313E94FC">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备注</w:t>
            </w:r>
          </w:p>
        </w:tc>
      </w:tr>
      <w:tr w14:paraId="20D0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52EF0EA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DF717B">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银行月度流水</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643FEA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100万元以下</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213761A">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4DEA1">
            <w:pPr>
              <w:pStyle w:val="14"/>
              <w:keepNext w:val="0"/>
              <w:keepLines w:val="0"/>
              <w:widowControl/>
              <w:suppressLineNumbers w:val="0"/>
              <w:kinsoku/>
              <w:wordWrap/>
              <w:overflowPunct/>
              <w:snapToGrid w:val="0"/>
              <w:jc w:val="center"/>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62F42650">
            <w:pPr>
              <w:pStyle w:val="14"/>
              <w:keepNext w:val="0"/>
              <w:keepLines w:val="0"/>
              <w:widowControl/>
              <w:suppressLineNumbers w:val="0"/>
              <w:kinsoku/>
              <w:wordWrap/>
              <w:overflowPunct/>
              <w:snapToGrid w:val="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2025年以来银行流水/月份</w:t>
            </w:r>
          </w:p>
        </w:tc>
      </w:tr>
      <w:tr w14:paraId="7EE3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F78D7A5">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92AD3">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08806FC">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100万≤银行流水＜300万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CB6819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CAE4E">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E054D8A">
            <w:pPr>
              <w:snapToGrid w:val="0"/>
              <w:jc w:val="center"/>
              <w:rPr>
                <w:rFonts w:hint="eastAsia" w:ascii="宋体" w:hAnsi="宋体" w:eastAsia="宋体" w:cs="宋体"/>
                <w:sz w:val="21"/>
                <w:szCs w:val="21"/>
              </w:rPr>
            </w:pPr>
          </w:p>
        </w:tc>
      </w:tr>
      <w:tr w14:paraId="4F05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BE7ADA7">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6BC96">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ED0B72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300万≤银行流水＜500万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837E73A">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365BB">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59160D9">
            <w:pPr>
              <w:snapToGrid w:val="0"/>
              <w:jc w:val="center"/>
              <w:rPr>
                <w:rFonts w:hint="eastAsia" w:ascii="宋体" w:hAnsi="宋体" w:eastAsia="宋体" w:cs="宋体"/>
                <w:sz w:val="21"/>
                <w:szCs w:val="21"/>
              </w:rPr>
            </w:pPr>
          </w:p>
        </w:tc>
      </w:tr>
      <w:tr w14:paraId="58E1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63FE97A">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0064B">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C9A89A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500万≤银行流水＜1000万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1C163D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EB2FA">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9B33BB1">
            <w:pPr>
              <w:snapToGrid w:val="0"/>
              <w:jc w:val="center"/>
              <w:rPr>
                <w:rFonts w:hint="eastAsia" w:ascii="宋体" w:hAnsi="宋体" w:eastAsia="宋体" w:cs="宋体"/>
                <w:sz w:val="21"/>
                <w:szCs w:val="21"/>
              </w:rPr>
            </w:pPr>
          </w:p>
        </w:tc>
      </w:tr>
      <w:tr w14:paraId="661D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630DC74">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F5739">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50D60ED">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1000万以上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DD9035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62426">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37A4A3EA">
            <w:pPr>
              <w:snapToGrid w:val="0"/>
              <w:jc w:val="center"/>
              <w:rPr>
                <w:rFonts w:hint="eastAsia" w:ascii="宋体" w:hAnsi="宋体" w:eastAsia="宋体" w:cs="宋体"/>
                <w:sz w:val="21"/>
                <w:szCs w:val="21"/>
              </w:rPr>
            </w:pPr>
          </w:p>
        </w:tc>
      </w:tr>
      <w:tr w14:paraId="59C8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6B89E30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51EC3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从业时间</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4DD0245D">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时间≤1年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0800D0B">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0分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3BA2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387B603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以与</w:t>
            </w:r>
            <w:r>
              <w:rPr>
                <w:rFonts w:hint="eastAsia" w:ascii="宋体" w:hAnsi="宋体" w:eastAsia="宋体" w:cs="宋体"/>
                <w:color w:val="000000"/>
                <w:sz w:val="21"/>
                <w:szCs w:val="21"/>
                <w:lang w:val="en-US" w:eastAsia="zh-CN"/>
              </w:rPr>
              <w:t>乘用车品牌</w:t>
            </w:r>
            <w:r>
              <w:rPr>
                <w:rFonts w:hint="eastAsia" w:ascii="宋体" w:hAnsi="宋体" w:eastAsia="宋体" w:cs="宋体"/>
                <w:color w:val="000000"/>
                <w:sz w:val="21"/>
                <w:szCs w:val="21"/>
              </w:rPr>
              <w:t>的合同为准</w:t>
            </w:r>
          </w:p>
        </w:tc>
      </w:tr>
      <w:tr w14:paraId="3740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2F01633">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751A5">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82FF283">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1年＜时间≤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90FDBE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76F9D">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7ECF3592">
            <w:pPr>
              <w:snapToGrid w:val="0"/>
              <w:jc w:val="center"/>
              <w:rPr>
                <w:rFonts w:hint="eastAsia" w:ascii="宋体" w:hAnsi="宋体" w:eastAsia="宋体" w:cs="宋体"/>
                <w:sz w:val="21"/>
                <w:szCs w:val="21"/>
              </w:rPr>
            </w:pPr>
          </w:p>
        </w:tc>
      </w:tr>
      <w:tr w14:paraId="1A87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DEA8834">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452B0">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484BE4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年＜时间≤5年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670C53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AB642">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38F3F5BB">
            <w:pPr>
              <w:snapToGrid w:val="0"/>
              <w:jc w:val="center"/>
              <w:rPr>
                <w:rFonts w:hint="eastAsia" w:ascii="宋体" w:hAnsi="宋体" w:eastAsia="宋体" w:cs="宋体"/>
                <w:sz w:val="21"/>
                <w:szCs w:val="21"/>
              </w:rPr>
            </w:pPr>
          </w:p>
        </w:tc>
      </w:tr>
      <w:tr w14:paraId="0332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F03E966">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D7274">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40682DC">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5年以上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A34668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89E6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AE1EB09">
            <w:pPr>
              <w:snapToGrid w:val="0"/>
              <w:jc w:val="center"/>
              <w:rPr>
                <w:rFonts w:hint="eastAsia" w:ascii="宋体" w:hAnsi="宋体" w:eastAsia="宋体" w:cs="宋体"/>
                <w:sz w:val="21"/>
                <w:szCs w:val="21"/>
              </w:rPr>
            </w:pPr>
          </w:p>
        </w:tc>
      </w:tr>
      <w:tr w14:paraId="11A4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77978613">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942026">
            <w:pPr>
              <w:pStyle w:val="14"/>
              <w:keepNext w:val="0"/>
              <w:keepLines w:val="0"/>
              <w:widowControl/>
              <w:suppressLineNumbers w:val="0"/>
              <w:kinsoku/>
              <w:wordWrap/>
              <w:overflowPunct/>
              <w:snapToGrid w:val="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近3</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具备乘用车品牌的运输资</w:t>
            </w:r>
            <w:r>
              <w:rPr>
                <w:rFonts w:hint="eastAsia" w:ascii="宋体" w:hAnsi="宋体" w:eastAsia="宋体" w:cs="宋体"/>
                <w:color w:val="000000"/>
                <w:sz w:val="21"/>
                <w:szCs w:val="21"/>
                <w:lang w:val="en-US" w:eastAsia="zh-CN"/>
              </w:rPr>
              <w:t>质</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B5A1E05">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无</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D35B2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0分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012B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2EAE91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以与</w:t>
            </w:r>
            <w:r>
              <w:rPr>
                <w:rFonts w:hint="eastAsia" w:ascii="宋体" w:hAnsi="宋体" w:eastAsia="宋体" w:cs="宋体"/>
                <w:color w:val="000000"/>
                <w:sz w:val="21"/>
                <w:szCs w:val="21"/>
                <w:lang w:val="en-US" w:eastAsia="zh-CN"/>
              </w:rPr>
              <w:t>乘用车品牌</w:t>
            </w:r>
            <w:r>
              <w:rPr>
                <w:rFonts w:hint="eastAsia" w:ascii="宋体" w:hAnsi="宋体" w:eastAsia="宋体" w:cs="宋体"/>
                <w:color w:val="000000"/>
                <w:sz w:val="21"/>
                <w:szCs w:val="21"/>
              </w:rPr>
              <w:t>的合同为准</w:t>
            </w:r>
          </w:p>
        </w:tc>
      </w:tr>
      <w:tr w14:paraId="04C2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8B6DF09">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E63EB">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A724726">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1家</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F95010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84EC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09D401E7">
            <w:pPr>
              <w:snapToGrid w:val="0"/>
              <w:jc w:val="center"/>
              <w:rPr>
                <w:rFonts w:hint="eastAsia" w:ascii="宋体" w:hAnsi="宋体" w:eastAsia="宋体" w:cs="宋体"/>
                <w:sz w:val="21"/>
                <w:szCs w:val="21"/>
              </w:rPr>
            </w:pPr>
          </w:p>
        </w:tc>
      </w:tr>
      <w:tr w14:paraId="5CA9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8DD9DAE">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24669">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2CA092B1">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2家</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3E712B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B129E">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7320997">
            <w:pPr>
              <w:snapToGrid w:val="0"/>
              <w:jc w:val="center"/>
              <w:rPr>
                <w:rFonts w:hint="eastAsia" w:ascii="宋体" w:hAnsi="宋体" w:eastAsia="宋体" w:cs="宋体"/>
                <w:sz w:val="21"/>
                <w:szCs w:val="21"/>
              </w:rPr>
            </w:pPr>
          </w:p>
        </w:tc>
      </w:tr>
      <w:tr w14:paraId="4B75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6EC1101">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54902">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367779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3家及以上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D0AD61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71AEB">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64DAFCE3">
            <w:pPr>
              <w:snapToGrid w:val="0"/>
              <w:jc w:val="center"/>
              <w:rPr>
                <w:rFonts w:hint="eastAsia" w:ascii="宋体" w:hAnsi="宋体" w:eastAsia="宋体" w:cs="宋体"/>
                <w:sz w:val="21"/>
                <w:szCs w:val="21"/>
              </w:rPr>
            </w:pPr>
          </w:p>
        </w:tc>
      </w:tr>
      <w:tr w14:paraId="6385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48A6E8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4EF3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自有板车数量</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17DF1D1A">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0板</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1F4D3AB">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B2E616">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439102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需提供行驶证复印件，仅限于中置轴挂车和17.5米板车</w:t>
            </w:r>
          </w:p>
        </w:tc>
      </w:tr>
      <w:tr w14:paraId="4493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E428C9F">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164A5">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005F38F7">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0板</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59FFC01">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D1B6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23D53C2">
            <w:pPr>
              <w:snapToGrid w:val="0"/>
              <w:jc w:val="center"/>
              <w:rPr>
                <w:rFonts w:hint="eastAsia" w:ascii="宋体" w:hAnsi="宋体" w:eastAsia="宋体" w:cs="宋体"/>
                <w:sz w:val="21"/>
                <w:szCs w:val="21"/>
              </w:rPr>
            </w:pPr>
          </w:p>
        </w:tc>
      </w:tr>
      <w:tr w14:paraId="5A3F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14:paraId="68CB6EC5">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14:paraId="5ABC6CE2">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12" w:space="0"/>
              <w:right w:val="single" w:color="auto" w:sz="4" w:space="0"/>
            </w:tcBorders>
            <w:shd w:val="clear" w:color="auto" w:fill="auto"/>
            <w:vAlign w:val="center"/>
          </w:tcPr>
          <w:p w14:paraId="126AEBF7">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0板以上</w:t>
            </w:r>
          </w:p>
        </w:tc>
        <w:tc>
          <w:tcPr>
            <w:tcW w:w="1339" w:type="dxa"/>
            <w:tcBorders>
              <w:top w:val="single" w:color="auto" w:sz="4" w:space="0"/>
              <w:left w:val="single" w:color="auto" w:sz="4" w:space="0"/>
              <w:bottom w:val="single" w:color="auto" w:sz="12" w:space="0"/>
              <w:right w:val="single" w:color="auto" w:sz="4" w:space="0"/>
            </w:tcBorders>
            <w:shd w:val="clear" w:color="auto" w:fill="auto"/>
            <w:vAlign w:val="center"/>
          </w:tcPr>
          <w:p w14:paraId="1128A3DD">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14:paraId="319D76EF">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12" w:space="0"/>
              <w:right w:val="single" w:color="auto" w:sz="12" w:space="0"/>
            </w:tcBorders>
            <w:shd w:val="clear" w:color="auto" w:fill="auto"/>
            <w:vAlign w:val="center"/>
          </w:tcPr>
          <w:p w14:paraId="04A17695">
            <w:pPr>
              <w:snapToGrid w:val="0"/>
              <w:jc w:val="center"/>
              <w:rPr>
                <w:rFonts w:hint="eastAsia" w:ascii="宋体" w:hAnsi="宋体" w:eastAsia="宋体" w:cs="宋体"/>
                <w:sz w:val="21"/>
                <w:szCs w:val="21"/>
              </w:rPr>
            </w:pPr>
          </w:p>
        </w:tc>
      </w:tr>
    </w:tbl>
    <w:p w14:paraId="2A404AB0">
      <w:pPr>
        <w:spacing w:line="360" w:lineRule="auto"/>
        <w:ind w:firstLine="0"/>
        <w:rPr>
          <w:rFonts w:hint="eastAsia"/>
          <w:sz w:val="24"/>
          <w:szCs w:val="24"/>
        </w:rPr>
      </w:pPr>
    </w:p>
    <w:bookmarkEnd w:id="162"/>
    <w:bookmarkEnd w:id="163"/>
    <w:p w14:paraId="3D75D556">
      <w:pPr>
        <w:pStyle w:val="15"/>
        <w:spacing w:line="360" w:lineRule="auto"/>
        <w:ind w:left="420"/>
        <w:rPr>
          <w:rFonts w:hint="eastAsia"/>
        </w:rPr>
      </w:pPr>
      <w:bookmarkStart w:id="205" w:name="_Toc142749695"/>
      <w:bookmarkStart w:id="206" w:name="_Toc12492"/>
      <w:bookmarkStart w:id="207" w:name="_Toc4757"/>
      <w:r>
        <w:rPr>
          <w:rFonts w:hint="eastAsia"/>
        </w:rPr>
        <w:t>合同签订</w:t>
      </w:r>
      <w:bookmarkEnd w:id="205"/>
      <w:bookmarkEnd w:id="206"/>
      <w:bookmarkEnd w:id="207"/>
    </w:p>
    <w:p w14:paraId="27FF6F34">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依照</w:t>
      </w:r>
      <w:r>
        <w:rPr>
          <w:rFonts w:hint="eastAsia" w:ascii="宋体" w:hAnsi="宋体" w:cs="宋体"/>
          <w:color w:val="000000"/>
          <w:sz w:val="24"/>
          <w:szCs w:val="24"/>
        </w:rPr>
        <w:t>相关法律法规</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根据</w:t>
      </w:r>
      <w:r>
        <w:rPr>
          <w:rFonts w:hint="eastAsia" w:ascii="宋体" w:hAnsi="宋体" w:cs="宋体"/>
          <w:color w:val="000000"/>
          <w:sz w:val="24"/>
          <w:szCs w:val="24"/>
        </w:rPr>
        <w:t>公司相关制度</w:t>
      </w:r>
      <w:r>
        <w:rPr>
          <w:rFonts w:hint="eastAsia" w:ascii="宋体" w:hAnsi="宋体" w:cs="宋体"/>
          <w:color w:val="000000"/>
          <w:sz w:val="24"/>
          <w:szCs w:val="24"/>
          <w:lang w:eastAsia="zh-CN"/>
        </w:rPr>
        <w:t>，</w:t>
      </w:r>
      <w:r>
        <w:rPr>
          <w:rFonts w:hint="eastAsia" w:ascii="宋体" w:hAnsi="宋体" w:cs="宋体"/>
          <w:color w:val="000000"/>
          <w:sz w:val="24"/>
          <w:szCs w:val="24"/>
        </w:rPr>
        <w:t>评标工作小组</w:t>
      </w:r>
      <w:r>
        <w:rPr>
          <w:rFonts w:hint="eastAsia" w:ascii="宋体" w:hAnsi="宋体" w:cs="宋体"/>
          <w:color w:val="000000"/>
          <w:sz w:val="24"/>
          <w:szCs w:val="24"/>
          <w:lang w:val="en-US" w:eastAsia="zh-CN"/>
        </w:rPr>
        <w:t>按照</w:t>
      </w:r>
      <w:r>
        <w:rPr>
          <w:rFonts w:hint="eastAsia" w:ascii="宋体" w:hAnsi="宋体" w:cs="宋体"/>
          <w:color w:val="000000"/>
          <w:sz w:val="24"/>
          <w:szCs w:val="24"/>
        </w:rPr>
        <w:t>评标结果确定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w:t>
      </w:r>
      <w:r>
        <w:rPr>
          <w:rFonts w:hint="eastAsia" w:ascii="宋体" w:hAnsi="宋体" w:cs="宋体"/>
          <w:color w:val="000000"/>
          <w:sz w:val="24"/>
          <w:szCs w:val="24"/>
          <w:lang w:eastAsia="zh-CN"/>
        </w:rPr>
        <w:t>中标</w:t>
      </w:r>
      <w:r>
        <w:rPr>
          <w:rFonts w:hint="eastAsia" w:ascii="宋体" w:hAnsi="宋体" w:cs="宋体"/>
          <w:color w:val="000000"/>
          <w:sz w:val="24"/>
          <w:szCs w:val="24"/>
          <w:lang w:val="en-US" w:eastAsia="zh-CN"/>
        </w:rPr>
        <w:t>人</w:t>
      </w:r>
      <w:r>
        <w:rPr>
          <w:rFonts w:hint="eastAsia" w:ascii="宋体" w:hAnsi="宋体" w:cs="宋体"/>
          <w:color w:val="000000"/>
          <w:sz w:val="24"/>
          <w:szCs w:val="24"/>
        </w:rPr>
        <w:t>承诺无条件服从招标人针对该项目的后续所有安排。招标人不承诺将合同授予报价最低的投标人，也不对未</w:t>
      </w:r>
      <w:r>
        <w:rPr>
          <w:rFonts w:hint="eastAsia" w:ascii="宋体" w:hAnsi="宋体" w:cs="宋体"/>
          <w:color w:val="000000"/>
          <w:sz w:val="24"/>
          <w:szCs w:val="24"/>
          <w:lang w:eastAsia="zh-CN"/>
        </w:rPr>
        <w:t>中标单位</w:t>
      </w:r>
      <w:r>
        <w:rPr>
          <w:rFonts w:hint="eastAsia" w:ascii="宋体" w:hAnsi="宋体" w:cs="宋体"/>
          <w:color w:val="000000"/>
          <w:sz w:val="24"/>
          <w:szCs w:val="24"/>
        </w:rPr>
        <w:t>做任何解释。</w:t>
      </w:r>
    </w:p>
    <w:p w14:paraId="6217D0F2">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招标人有权指定招标人的关联单位作为合同签订人，与</w:t>
      </w:r>
      <w:r>
        <w:rPr>
          <w:rFonts w:hint="eastAsia" w:ascii="宋体" w:hAnsi="宋体" w:cs="宋体"/>
          <w:color w:val="000000"/>
          <w:sz w:val="24"/>
          <w:szCs w:val="24"/>
          <w:lang w:eastAsia="zh-CN"/>
        </w:rPr>
        <w:t>中标单位</w:t>
      </w:r>
      <w:r>
        <w:rPr>
          <w:rFonts w:hint="eastAsia" w:ascii="宋体" w:hAnsi="宋体" w:cs="宋体"/>
          <w:color w:val="000000"/>
          <w:sz w:val="24"/>
          <w:szCs w:val="24"/>
        </w:rPr>
        <w:t>签署相关合同，且具体权利义务以双方最终签署的合同为准。</w:t>
      </w:r>
    </w:p>
    <w:p w14:paraId="2132F99E">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招标人发送《中标通知书》给</w:t>
      </w:r>
      <w:r>
        <w:rPr>
          <w:rFonts w:hint="eastAsia" w:ascii="宋体" w:hAnsi="宋体" w:cs="宋体"/>
          <w:color w:val="000000"/>
          <w:sz w:val="24"/>
          <w:szCs w:val="24"/>
          <w:lang w:eastAsia="zh-CN"/>
        </w:rPr>
        <w:t>中标单位</w:t>
      </w:r>
      <w:r>
        <w:rPr>
          <w:rFonts w:hint="eastAsia" w:ascii="宋体" w:hAnsi="宋体" w:cs="宋体"/>
          <w:color w:val="000000"/>
          <w:sz w:val="24"/>
          <w:szCs w:val="24"/>
        </w:rPr>
        <w:t>，</w:t>
      </w:r>
      <w:r>
        <w:rPr>
          <w:rFonts w:hint="eastAsia" w:ascii="宋体" w:hAnsi="宋体" w:cs="宋体"/>
          <w:color w:val="000000"/>
          <w:sz w:val="24"/>
          <w:szCs w:val="24"/>
          <w:lang w:eastAsia="zh-CN"/>
        </w:rPr>
        <w:t>中标单位</w:t>
      </w:r>
      <w:r>
        <w:rPr>
          <w:rFonts w:hint="eastAsia" w:ascii="宋体" w:hAnsi="宋体" w:cs="宋体"/>
          <w:color w:val="000000"/>
          <w:sz w:val="24"/>
          <w:szCs w:val="24"/>
        </w:rPr>
        <w:t>应及时与招标人联系，在招标人要求的时间内完成</w:t>
      </w:r>
      <w:r>
        <w:rPr>
          <w:rFonts w:hint="eastAsia" w:ascii="宋体" w:hAnsi="宋体" w:cs="宋体"/>
          <w:color w:val="000000"/>
          <w:sz w:val="24"/>
          <w:szCs w:val="24"/>
          <w:lang w:val="en-US" w:eastAsia="zh-CN"/>
        </w:rPr>
        <w:t>履约保证金的缴纳和</w:t>
      </w:r>
      <w:r>
        <w:rPr>
          <w:rFonts w:hint="eastAsia" w:ascii="宋体" w:hAnsi="宋体" w:cs="宋体"/>
          <w:color w:val="000000"/>
          <w:sz w:val="24"/>
          <w:szCs w:val="24"/>
        </w:rPr>
        <w:t>合同签订</w:t>
      </w:r>
      <w:r>
        <w:rPr>
          <w:rFonts w:hint="eastAsia" w:ascii="宋体" w:hAnsi="宋体" w:cs="宋体"/>
          <w:color w:val="000000"/>
          <w:sz w:val="24"/>
          <w:szCs w:val="24"/>
          <w:lang w:eastAsia="zh-CN"/>
        </w:rPr>
        <w:t>。</w:t>
      </w:r>
    </w:p>
    <w:p w14:paraId="54FBDA36">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如果</w:t>
      </w:r>
      <w:r>
        <w:rPr>
          <w:rFonts w:hint="eastAsia" w:ascii="宋体" w:hAnsi="宋体" w:cs="宋体"/>
          <w:color w:val="000000"/>
          <w:sz w:val="24"/>
          <w:szCs w:val="24"/>
          <w:lang w:eastAsia="zh-CN"/>
        </w:rPr>
        <w:t>中标单位</w:t>
      </w:r>
      <w:r>
        <w:rPr>
          <w:rFonts w:hint="eastAsia" w:ascii="宋体" w:hAnsi="宋体" w:cs="宋体"/>
          <w:color w:val="000000"/>
          <w:sz w:val="24"/>
          <w:szCs w:val="24"/>
        </w:rPr>
        <w:t>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，或重新组织招标。</w:t>
      </w:r>
    </w:p>
    <w:p w14:paraId="765F9741">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应当按照合同约定的履约责任，向招标人指定的合同签订单位缴纳履约保证金</w:t>
      </w:r>
      <w:r>
        <w:rPr>
          <w:rFonts w:hint="eastAsia" w:ascii="宋体" w:hAnsi="宋体" w:cs="宋体"/>
          <w:color w:val="000000"/>
          <w:sz w:val="24"/>
          <w:szCs w:val="24"/>
          <w:lang w:val="en-US" w:eastAsia="zh-CN"/>
        </w:rPr>
        <w:t>200</w:t>
      </w:r>
      <w:r>
        <w:rPr>
          <w:rFonts w:hint="eastAsia" w:ascii="宋体" w:hAnsi="宋体" w:cs="宋体"/>
          <w:color w:val="000000"/>
          <w:sz w:val="24"/>
          <w:szCs w:val="24"/>
        </w:rPr>
        <w:t>万元（具体数额以合同约定为准），如</w:t>
      </w:r>
      <w:r>
        <w:rPr>
          <w:rFonts w:hint="eastAsia" w:ascii="宋体" w:hAnsi="宋体" w:cs="宋体"/>
          <w:color w:val="000000"/>
          <w:sz w:val="24"/>
          <w:szCs w:val="24"/>
          <w:lang w:eastAsia="zh-CN"/>
        </w:rPr>
        <w:t>中标单位</w:t>
      </w:r>
      <w:r>
        <w:rPr>
          <w:rFonts w:hint="eastAsia" w:ascii="宋体" w:hAnsi="宋体" w:cs="宋体"/>
          <w:color w:val="000000"/>
          <w:sz w:val="24"/>
          <w:szCs w:val="24"/>
        </w:rPr>
        <w:t>未按合同及其附件约定履行应承担的责任，招标人或招标人指定的合同签订单位有权扣除其</w:t>
      </w:r>
      <w:r>
        <w:rPr>
          <w:rFonts w:hint="eastAsia" w:ascii="宋体" w:hAnsi="宋体" w:cs="宋体"/>
          <w:color w:val="000000"/>
          <w:sz w:val="24"/>
          <w:szCs w:val="24"/>
          <w:lang w:val="en-US" w:eastAsia="zh-CN"/>
        </w:rPr>
        <w:t>履约</w:t>
      </w:r>
      <w:r>
        <w:rPr>
          <w:rFonts w:hint="eastAsia" w:ascii="宋体" w:hAnsi="宋体" w:cs="宋体"/>
          <w:color w:val="000000"/>
          <w:sz w:val="24"/>
          <w:szCs w:val="24"/>
        </w:rPr>
        <w:t>保证金。</w:t>
      </w:r>
    </w:p>
    <w:p w14:paraId="55711650">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应在保证质量的前提下完成中标项目，不得将中标项目转包或分包给他人，否则视为违约，招标人或相关单位有权解除合同。</w:t>
      </w:r>
    </w:p>
    <w:p w14:paraId="7D6556DB">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由于履行义务的能力或信用有严重缺陷，招标人有权取消其中标资格，招标人将从剩余投标人中依序重新确定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，或重新组织招标。</w:t>
      </w:r>
    </w:p>
    <w:p w14:paraId="4A3C0400">
      <w:pPr>
        <w:numPr>
          <w:ilvl w:val="0"/>
          <w:numId w:val="37"/>
        </w:numPr>
        <w:spacing w:line="360" w:lineRule="auto"/>
        <w:ind w:left="425" w:hanging="425" w:firstLineChars="0"/>
        <w:rPr>
          <w:rFonts w:hint="eastAsia"/>
        </w:rPr>
      </w:pPr>
      <w:r>
        <w:rPr>
          <w:rFonts w:hint="eastAsia" w:ascii="宋体" w:hAnsi="宋体" w:cs="宋体"/>
          <w:color w:val="000000"/>
          <w:sz w:val="24"/>
          <w:szCs w:val="24"/>
          <w:highlight w:val="none"/>
          <w:lang w:eastAsia="zh-CN"/>
        </w:rPr>
        <w:t>中标单位</w:t>
      </w:r>
      <w:r>
        <w:rPr>
          <w:rFonts w:hint="eastAsia" w:ascii="宋体" w:hAnsi="宋体" w:cs="宋体"/>
          <w:color w:val="000000"/>
          <w:sz w:val="24"/>
          <w:szCs w:val="24"/>
          <w:highlight w:val="none"/>
        </w:rPr>
        <w:t>须认可由于招标人上级集团公司政策变化引起的合同签订前终止项目的要求。</w:t>
      </w:r>
    </w:p>
    <w:p w14:paraId="2109FFA6">
      <w:pPr>
        <w:pStyle w:val="15"/>
        <w:numPr>
          <w:ilvl w:val="0"/>
          <w:numId w:val="0"/>
        </w:numPr>
        <w:ind w:firstLine="3534" w:firstLineChars="1100"/>
        <w:jc w:val="both"/>
        <w:rPr>
          <w:rFonts w:hint="eastAsia" w:eastAsia="宋体"/>
          <w:lang w:val="en-US" w:eastAsia="zh-CN"/>
        </w:rPr>
      </w:pPr>
      <w:bookmarkStart w:id="208" w:name="_Toc17414"/>
      <w:bookmarkStart w:id="209" w:name="_Toc25634"/>
      <w:r>
        <w:rPr>
          <w:rFonts w:hint="eastAsia"/>
        </w:rPr>
        <w:t>第</w:t>
      </w:r>
      <w:r>
        <w:rPr>
          <w:rFonts w:hint="eastAsia"/>
          <w:lang w:val="en-US" w:eastAsia="zh-CN"/>
        </w:rPr>
        <w:t>7</w:t>
      </w:r>
      <w:r>
        <w:rPr>
          <w:rFonts w:hint="eastAsia"/>
        </w:rPr>
        <w:t>章  附件</w:t>
      </w:r>
      <w:bookmarkEnd w:id="208"/>
      <w:r>
        <w:rPr>
          <w:rFonts w:hint="eastAsia"/>
          <w:lang w:val="en-US" w:eastAsia="zh-CN"/>
        </w:rPr>
        <w:t>明细</w:t>
      </w:r>
      <w:bookmarkEnd w:id="209"/>
    </w:p>
    <w:p w14:paraId="1A15C0B3">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附件1：投标保证金承诺函</w:t>
      </w:r>
    </w:p>
    <w:p w14:paraId="5B869555">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附件2：开标一览表（</w:t>
      </w:r>
      <w:r>
        <w:rPr>
          <w:rFonts w:hint="eastAsia" w:ascii="宋体" w:hAnsi="宋体"/>
          <w:highlight w:val="none"/>
          <w:lang w:val="en-US" w:eastAsia="zh-CN"/>
        </w:rPr>
        <w:t>除附在投标文件中外，还应单独密封一份，唱标时使用</w:t>
      </w:r>
      <w:r>
        <w:rPr>
          <w:rFonts w:hint="eastAsia" w:ascii="宋体" w:hAnsi="宋体"/>
          <w:lang w:val="en-US" w:eastAsia="zh-CN"/>
        </w:rPr>
        <w:t>）</w:t>
      </w:r>
    </w:p>
    <w:p w14:paraId="61C729CF">
      <w:pPr>
        <w:pStyle w:val="13"/>
        <w:numPr>
          <w:ilvl w:val="0"/>
          <w:numId w:val="38"/>
        </w:numPr>
        <w:ind w:left="425" w:right="210" w:hanging="425"/>
        <w:rPr>
          <w:rFonts w:hint="eastAsia" w:ascii="宋体" w:hAnsi="宋体"/>
          <w:lang w:val="en-US" w:eastAsia="zh-CN"/>
        </w:rPr>
      </w:pPr>
      <w:r>
        <w:rPr>
          <w:rFonts w:hint="eastAsia" w:ascii="宋体" w:hAnsi="宋体"/>
          <w:lang w:val="en-US" w:eastAsia="zh-CN"/>
        </w:rPr>
        <w:t>附件3：投标函</w:t>
      </w:r>
    </w:p>
    <w:p w14:paraId="3CF01244">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附件4：承诺书</w:t>
      </w:r>
    </w:p>
    <w:p w14:paraId="266E8F3A">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附件5：授权委托书</w:t>
      </w:r>
    </w:p>
    <w:p w14:paraId="19363250">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附件6：整车发运违约追责管理办法</w:t>
      </w:r>
    </w:p>
    <w:p w14:paraId="1A5B50DA">
      <w:pPr>
        <w:pStyle w:val="13"/>
        <w:numPr>
          <w:ilvl w:val="0"/>
          <w:numId w:val="38"/>
        </w:numPr>
        <w:ind w:left="425" w:right="210" w:hanging="425"/>
        <w:rPr>
          <w:rFonts w:hint="eastAsia" w:ascii="宋体" w:hAnsi="宋体"/>
          <w:lang w:val="en-US" w:eastAsia="zh-CN"/>
        </w:rPr>
      </w:pPr>
      <w:r>
        <w:rPr>
          <w:rFonts w:hint="eastAsia" w:ascii="宋体" w:hAnsi="宋体"/>
          <w:lang w:val="en-US" w:eastAsia="zh-CN"/>
        </w:rPr>
        <w:t>附件7：里程</w:t>
      </w:r>
    </w:p>
    <w:p w14:paraId="44D6DE65">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附件8：</w:t>
      </w:r>
      <w:r>
        <w:rPr>
          <w:rFonts w:hint="eastAsia" w:ascii="宋体" w:hAnsi="宋体"/>
          <w:strike w:val="0"/>
          <w:lang w:val="en-US" w:eastAsia="zh-CN"/>
        </w:rPr>
        <w:t>技术评标细则</w:t>
      </w:r>
    </w:p>
    <w:p w14:paraId="46CF7CD6">
      <w:pPr>
        <w:pStyle w:val="13"/>
        <w:numPr>
          <w:ilvl w:val="0"/>
          <w:numId w:val="38"/>
        </w:numPr>
        <w:ind w:left="425" w:right="210" w:hanging="425"/>
        <w:rPr>
          <w:rFonts w:hint="default" w:ascii="宋体" w:hAnsi="宋体"/>
          <w:lang w:val="en-US" w:eastAsia="zh-CN"/>
        </w:rPr>
      </w:pPr>
      <w:r>
        <w:rPr>
          <w:rFonts w:hint="eastAsia" w:ascii="宋体" w:hAnsi="宋体"/>
          <w:strike w:val="0"/>
          <w:lang w:val="en-US" w:eastAsia="zh-CN"/>
        </w:rPr>
        <w:t>附件9：投标基价及预估业务量</w:t>
      </w:r>
    </w:p>
    <w:p w14:paraId="02FE7F2E">
      <w:pPr>
        <w:pStyle w:val="13"/>
        <w:ind w:left="0" w:right="210" w:firstLine="0"/>
        <w:rPr>
          <w:rFonts w:ascii="宋体" w:hAnsi="宋体"/>
        </w:rPr>
      </w:pPr>
      <w:r>
        <w:rPr>
          <w:rFonts w:hint="eastAsia" w:ascii="宋体" w:hAnsi="宋体"/>
        </w:rPr>
        <w:t>说明：</w:t>
      </w:r>
    </w:p>
    <w:p w14:paraId="0899A96F">
      <w:pPr>
        <w:numPr>
          <w:ilvl w:val="1"/>
          <w:numId w:val="37"/>
        </w:numPr>
        <w:spacing w:line="360" w:lineRule="auto"/>
        <w:ind w:left="840" w:hanging="420" w:firstLineChars="0"/>
        <w:rPr>
          <w:rFonts w:ascii="宋体" w:hAnsi="宋体"/>
          <w:sz w:val="24"/>
        </w:rPr>
      </w:pPr>
      <w:r>
        <w:rPr>
          <w:rFonts w:hint="eastAsia" w:ascii="宋体" w:hAnsi="宋体"/>
          <w:sz w:val="24"/>
        </w:rPr>
        <w:t>投标人须认真填写和提交本部分中的附件文件；</w:t>
      </w:r>
    </w:p>
    <w:p w14:paraId="6EB25547">
      <w:pPr>
        <w:numPr>
          <w:ilvl w:val="1"/>
          <w:numId w:val="37"/>
        </w:numPr>
        <w:spacing w:line="360" w:lineRule="auto"/>
        <w:ind w:left="840" w:hanging="420" w:firstLineChars="0"/>
        <w:rPr>
          <w:rFonts w:ascii="宋体" w:hAnsi="宋体"/>
          <w:sz w:val="24"/>
        </w:rPr>
      </w:pPr>
      <w:r>
        <w:rPr>
          <w:rFonts w:hint="eastAsia" w:ascii="宋体" w:hAnsi="宋体"/>
          <w:sz w:val="24"/>
        </w:rPr>
        <w:t>对附件文件中所要求的内容应给予明确的答复；</w:t>
      </w:r>
    </w:p>
    <w:p w14:paraId="53F10BF1">
      <w:pPr>
        <w:numPr>
          <w:ilvl w:val="1"/>
          <w:numId w:val="37"/>
        </w:numPr>
        <w:spacing w:line="360" w:lineRule="auto"/>
        <w:ind w:left="840" w:hanging="420" w:firstLineChars="0"/>
        <w:rPr>
          <w:rFonts w:ascii="宋体" w:hAnsi="宋体"/>
          <w:sz w:val="24"/>
        </w:rPr>
      </w:pPr>
      <w:r>
        <w:rPr>
          <w:rFonts w:hint="eastAsia" w:ascii="宋体" w:hAnsi="宋体"/>
          <w:sz w:val="24"/>
        </w:rPr>
        <w:t>附件文件的签字人应保证其对一切问题的答复、所做的声明及出具的资格资质文件、资料等具有真实性和准确性；</w:t>
      </w:r>
    </w:p>
    <w:p w14:paraId="4CF4F713">
      <w:pPr>
        <w:numPr>
          <w:ilvl w:val="1"/>
          <w:numId w:val="37"/>
        </w:numPr>
        <w:spacing w:line="360" w:lineRule="auto"/>
        <w:ind w:left="840" w:hanging="420" w:firstLineChars="0"/>
        <w:rPr>
          <w:rFonts w:ascii="宋体" w:hAnsi="宋体"/>
          <w:sz w:val="24"/>
        </w:rPr>
      </w:pPr>
      <w:r>
        <w:rPr>
          <w:rFonts w:hint="eastAsia" w:ascii="宋体" w:hAnsi="宋体"/>
          <w:sz w:val="24"/>
        </w:rPr>
        <w:t>招标人将对投标人提交的文件、资料等内容予以保密，但不退还；</w:t>
      </w:r>
    </w:p>
    <w:p w14:paraId="6C358B37">
      <w:pPr>
        <w:numPr>
          <w:ilvl w:val="1"/>
          <w:numId w:val="37"/>
        </w:numPr>
        <w:spacing w:line="360" w:lineRule="auto"/>
        <w:ind w:left="840" w:hanging="420" w:firstLineChars="0"/>
        <w:rPr>
          <w:rFonts w:ascii="宋体" w:hAnsi="宋体"/>
          <w:sz w:val="24"/>
        </w:rPr>
      </w:pPr>
      <w:r>
        <w:rPr>
          <w:rFonts w:hint="eastAsia" w:ascii="宋体" w:hAnsi="宋体"/>
          <w:sz w:val="24"/>
        </w:rPr>
        <w:t>所有附件文件应以中文书写，作为投标文件的组成部分。</w:t>
      </w:r>
    </w:p>
    <w:p w14:paraId="75EA5208">
      <w:pPr>
        <w:spacing w:line="360" w:lineRule="auto"/>
        <w:jc w:val="left"/>
        <w:rPr>
          <w:rFonts w:hint="eastAsia" w:ascii="Times New Roman" w:hAnsi="Times New Roman" w:eastAsia="宋体" w:cs="Times New Roman"/>
          <w:b/>
          <w:kern w:val="2"/>
          <w:sz w:val="22"/>
          <w:szCs w:val="22"/>
          <w:lang w:val="en-US" w:eastAsia="zh-CN" w:bidi="ar-SA"/>
        </w:rPr>
      </w:pPr>
    </w:p>
    <w:p w14:paraId="3281097C">
      <w:pPr>
        <w:pStyle w:val="6"/>
      </w:pPr>
      <w:bookmarkStart w:id="210" w:name="_Toc31101"/>
      <w:bookmarkStart w:id="211" w:name="_Toc28039"/>
    </w:p>
    <w:bookmarkEnd w:id="210"/>
    <w:bookmarkEnd w:id="211"/>
    <w:p w14:paraId="5891B916">
      <w:pPr>
        <w:pStyle w:val="8"/>
        <w:spacing w:after="0" w:line="360" w:lineRule="auto"/>
      </w:pPr>
    </w:p>
    <w:sectPr>
      <w:footerReference r:id="rId5" w:type="default"/>
      <w:pgSz w:w="11907" w:h="16840"/>
      <w:pgMar w:top="1025" w:right="1418" w:bottom="1418" w:left="1418" w:header="724" w:footer="851" w:gutter="0"/>
      <w:pgNumType w:fmt="decimal"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8ABE">
    <w:pPr>
      <w:pStyle w:val="10"/>
      <w:jc w:val="center"/>
    </w:pPr>
  </w:p>
  <w:p w14:paraId="4122A08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E60">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CC11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0CC11D">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47468749"/>
        <w:showingPlcHdr/>
        <w:docPartObj>
          <w:docPartGallery w:val="autotext"/>
        </w:docPartObj>
      </w:sdtPr>
      <w:sdtEndPr>
        <w:rPr>
          <w:rFonts w:hint="default"/>
          <w:lang w:val="en-US"/>
        </w:rPr>
      </w:sdtEndPr>
      <w:sdtContent/>
    </w:sdt>
  </w:p>
  <w:p w14:paraId="3FB07A7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80A9">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F68FE"/>
    <w:multiLevelType w:val="singleLevel"/>
    <w:tmpl w:val="8F3F68FE"/>
    <w:lvl w:ilvl="0" w:tentative="0">
      <w:start w:val="1"/>
      <w:numFmt w:val="decimal"/>
      <w:lvlText w:val="%1."/>
      <w:lvlJc w:val="left"/>
      <w:pPr>
        <w:ind w:left="425" w:hanging="425"/>
      </w:pPr>
      <w:rPr>
        <w:rFonts w:hint="default"/>
      </w:rPr>
    </w:lvl>
  </w:abstractNum>
  <w:abstractNum w:abstractNumId="1">
    <w:nsid w:val="96EB5CC9"/>
    <w:multiLevelType w:val="singleLevel"/>
    <w:tmpl w:val="96EB5CC9"/>
    <w:lvl w:ilvl="0" w:tentative="0">
      <w:start w:val="1"/>
      <w:numFmt w:val="decimal"/>
      <w:lvlText w:val="%1."/>
      <w:lvlJc w:val="left"/>
      <w:pPr>
        <w:ind w:left="425" w:hanging="425"/>
      </w:pPr>
      <w:rPr>
        <w:rFonts w:hint="default"/>
      </w:rPr>
    </w:lvl>
  </w:abstractNum>
  <w:abstractNum w:abstractNumId="2">
    <w:nsid w:val="9E1FE5CC"/>
    <w:multiLevelType w:val="singleLevel"/>
    <w:tmpl w:val="9E1FE5CC"/>
    <w:lvl w:ilvl="0" w:tentative="0">
      <w:start w:val="1"/>
      <w:numFmt w:val="decimal"/>
      <w:lvlText w:val="%1."/>
      <w:lvlJc w:val="left"/>
      <w:pPr>
        <w:ind w:left="425" w:hanging="425"/>
      </w:pPr>
      <w:rPr>
        <w:rFonts w:hint="default"/>
      </w:rPr>
    </w:lvl>
  </w:abstractNum>
  <w:abstractNum w:abstractNumId="3">
    <w:nsid w:val="A59951FE"/>
    <w:multiLevelType w:val="singleLevel"/>
    <w:tmpl w:val="A59951FE"/>
    <w:lvl w:ilvl="0" w:tentative="0">
      <w:start w:val="1"/>
      <w:numFmt w:val="decimal"/>
      <w:lvlText w:val="%1."/>
      <w:lvlJc w:val="left"/>
      <w:pPr>
        <w:ind w:left="425" w:hanging="425"/>
      </w:pPr>
      <w:rPr>
        <w:rFonts w:hint="default"/>
        <w:sz w:val="24"/>
        <w:szCs w:val="24"/>
      </w:rPr>
    </w:lvl>
  </w:abstractNum>
  <w:abstractNum w:abstractNumId="4">
    <w:nsid w:val="A7E12DAE"/>
    <w:multiLevelType w:val="singleLevel"/>
    <w:tmpl w:val="A7E12DAE"/>
    <w:lvl w:ilvl="0" w:tentative="0">
      <w:start w:val="1"/>
      <w:numFmt w:val="decimal"/>
      <w:lvlText w:val="%1."/>
      <w:lvlJc w:val="left"/>
      <w:pPr>
        <w:ind w:left="425" w:hanging="425"/>
      </w:pPr>
      <w:rPr>
        <w:rFonts w:hint="default"/>
      </w:rPr>
    </w:lvl>
  </w:abstractNum>
  <w:abstractNum w:abstractNumId="5">
    <w:nsid w:val="A91F3BC7"/>
    <w:multiLevelType w:val="singleLevel"/>
    <w:tmpl w:val="A91F3BC7"/>
    <w:lvl w:ilvl="0" w:tentative="0">
      <w:start w:val="1"/>
      <w:numFmt w:val="decimal"/>
      <w:lvlText w:val="%1."/>
      <w:lvlJc w:val="left"/>
      <w:pPr>
        <w:ind w:left="425" w:hanging="425"/>
      </w:pPr>
      <w:rPr>
        <w:rFonts w:hint="default"/>
      </w:rPr>
    </w:lvl>
  </w:abstractNum>
  <w:abstractNum w:abstractNumId="6">
    <w:nsid w:val="AA4F46C3"/>
    <w:multiLevelType w:val="singleLevel"/>
    <w:tmpl w:val="AA4F46C3"/>
    <w:lvl w:ilvl="0" w:tentative="0">
      <w:start w:val="1"/>
      <w:numFmt w:val="decimal"/>
      <w:lvlText w:val="%1."/>
      <w:lvlJc w:val="left"/>
      <w:pPr>
        <w:ind w:left="425" w:hanging="425"/>
      </w:pPr>
      <w:rPr>
        <w:rFonts w:hint="default"/>
      </w:rPr>
    </w:lvl>
  </w:abstractNum>
  <w:abstractNum w:abstractNumId="7">
    <w:nsid w:val="B03EBF90"/>
    <w:multiLevelType w:val="singleLevel"/>
    <w:tmpl w:val="B03EBF90"/>
    <w:lvl w:ilvl="0" w:tentative="0">
      <w:start w:val="1"/>
      <w:numFmt w:val="decimal"/>
      <w:lvlText w:val="%1."/>
      <w:lvlJc w:val="left"/>
      <w:pPr>
        <w:ind w:left="425" w:hanging="425"/>
      </w:pPr>
      <w:rPr>
        <w:rFonts w:hint="default"/>
      </w:rPr>
    </w:lvl>
  </w:abstractNum>
  <w:abstractNum w:abstractNumId="8">
    <w:nsid w:val="B23ABA1F"/>
    <w:multiLevelType w:val="singleLevel"/>
    <w:tmpl w:val="B23ABA1F"/>
    <w:lvl w:ilvl="0" w:tentative="0">
      <w:start w:val="1"/>
      <w:numFmt w:val="decimal"/>
      <w:lvlText w:val="(%1)"/>
      <w:lvlJc w:val="left"/>
      <w:pPr>
        <w:tabs>
          <w:tab w:val="left" w:pos="420"/>
        </w:tabs>
        <w:ind w:left="845" w:hanging="425"/>
      </w:pPr>
      <w:rPr>
        <w:rFonts w:hint="default"/>
      </w:rPr>
    </w:lvl>
  </w:abstractNum>
  <w:abstractNum w:abstractNumId="9">
    <w:nsid w:val="B4B5B7C0"/>
    <w:multiLevelType w:val="singleLevel"/>
    <w:tmpl w:val="B4B5B7C0"/>
    <w:lvl w:ilvl="0" w:tentative="0">
      <w:start w:val="1"/>
      <w:numFmt w:val="decimal"/>
      <w:lvlText w:val="(%1)"/>
      <w:lvlJc w:val="left"/>
      <w:pPr>
        <w:tabs>
          <w:tab w:val="left" w:pos="420"/>
        </w:tabs>
        <w:ind w:left="845" w:hanging="425"/>
      </w:pPr>
      <w:rPr>
        <w:rFonts w:hint="default"/>
        <w:sz w:val="24"/>
        <w:szCs w:val="24"/>
      </w:rPr>
    </w:lvl>
  </w:abstractNum>
  <w:abstractNum w:abstractNumId="10">
    <w:nsid w:val="C0E44A6F"/>
    <w:multiLevelType w:val="singleLevel"/>
    <w:tmpl w:val="C0E44A6F"/>
    <w:lvl w:ilvl="0" w:tentative="0">
      <w:start w:val="1"/>
      <w:numFmt w:val="decimal"/>
      <w:lvlText w:val="(%1)"/>
      <w:lvlJc w:val="left"/>
      <w:pPr>
        <w:tabs>
          <w:tab w:val="left" w:pos="420"/>
        </w:tabs>
        <w:ind w:left="845" w:hanging="425"/>
      </w:pPr>
      <w:rPr>
        <w:rFonts w:hint="default"/>
      </w:rPr>
    </w:lvl>
  </w:abstractNum>
  <w:abstractNum w:abstractNumId="11">
    <w:nsid w:val="D21B4425"/>
    <w:multiLevelType w:val="singleLevel"/>
    <w:tmpl w:val="D21B4425"/>
    <w:lvl w:ilvl="0" w:tentative="0">
      <w:start w:val="1"/>
      <w:numFmt w:val="decimal"/>
      <w:lvlText w:val="(%1)"/>
      <w:lvlJc w:val="left"/>
      <w:pPr>
        <w:tabs>
          <w:tab w:val="left" w:pos="420"/>
        </w:tabs>
        <w:ind w:left="845" w:hanging="425"/>
      </w:pPr>
      <w:rPr>
        <w:rFonts w:hint="default" w:ascii="Times New Roman" w:hAnsi="Times New Roman" w:cs="Times New Roman"/>
        <w:b w:val="0"/>
        <w:bCs w:val="0"/>
      </w:rPr>
    </w:lvl>
  </w:abstractNum>
  <w:abstractNum w:abstractNumId="12">
    <w:nsid w:val="D764A98C"/>
    <w:multiLevelType w:val="singleLevel"/>
    <w:tmpl w:val="D764A98C"/>
    <w:lvl w:ilvl="0" w:tentative="0">
      <w:start w:val="1"/>
      <w:numFmt w:val="lowerLetter"/>
      <w:lvlText w:val="%1."/>
      <w:lvlJc w:val="left"/>
      <w:pPr>
        <w:tabs>
          <w:tab w:val="left" w:pos="840"/>
        </w:tabs>
        <w:ind w:left="1265" w:hanging="425"/>
      </w:pPr>
      <w:rPr>
        <w:rFonts w:hint="default"/>
      </w:rPr>
    </w:lvl>
  </w:abstractNum>
  <w:abstractNum w:abstractNumId="13">
    <w:nsid w:val="D8E5852D"/>
    <w:multiLevelType w:val="singleLevel"/>
    <w:tmpl w:val="D8E5852D"/>
    <w:lvl w:ilvl="0" w:tentative="0">
      <w:start w:val="1"/>
      <w:numFmt w:val="decimal"/>
      <w:lvlText w:val="%1."/>
      <w:lvlJc w:val="left"/>
      <w:pPr>
        <w:ind w:left="425" w:hanging="425"/>
      </w:pPr>
      <w:rPr>
        <w:rFonts w:hint="default"/>
      </w:rPr>
    </w:lvl>
  </w:abstractNum>
  <w:abstractNum w:abstractNumId="14">
    <w:nsid w:val="D95847A0"/>
    <w:multiLevelType w:val="singleLevel"/>
    <w:tmpl w:val="D95847A0"/>
    <w:lvl w:ilvl="0" w:tentative="0">
      <w:start w:val="1"/>
      <w:numFmt w:val="decimal"/>
      <w:lvlText w:val="%1."/>
      <w:lvlJc w:val="left"/>
      <w:pPr>
        <w:ind w:left="425" w:hanging="425"/>
      </w:pPr>
      <w:rPr>
        <w:rFonts w:hint="default"/>
        <w:b w:val="0"/>
        <w:bCs w:val="0"/>
        <w:sz w:val="24"/>
        <w:szCs w:val="24"/>
      </w:rPr>
    </w:lvl>
  </w:abstractNum>
  <w:abstractNum w:abstractNumId="15">
    <w:nsid w:val="E01B71EB"/>
    <w:multiLevelType w:val="singleLevel"/>
    <w:tmpl w:val="E01B71EB"/>
    <w:lvl w:ilvl="0" w:tentative="0">
      <w:start w:val="1"/>
      <w:numFmt w:val="decimal"/>
      <w:suff w:val="space"/>
      <w:lvlText w:val="%1."/>
      <w:lvlJc w:val="left"/>
      <w:pPr>
        <w:ind w:left="425" w:hanging="425"/>
      </w:pPr>
      <w:rPr>
        <w:rFonts w:hint="default"/>
      </w:rPr>
    </w:lvl>
  </w:abstractNum>
  <w:abstractNum w:abstractNumId="16">
    <w:nsid w:val="E0F9DDEF"/>
    <w:multiLevelType w:val="singleLevel"/>
    <w:tmpl w:val="E0F9DDEF"/>
    <w:lvl w:ilvl="0" w:tentative="0">
      <w:start w:val="1"/>
      <w:numFmt w:val="decimal"/>
      <w:lvlText w:val="(%1)"/>
      <w:lvlJc w:val="left"/>
      <w:pPr>
        <w:tabs>
          <w:tab w:val="left" w:pos="420"/>
        </w:tabs>
        <w:ind w:left="845" w:hanging="425"/>
      </w:pPr>
      <w:rPr>
        <w:rFonts w:hint="default"/>
      </w:rPr>
    </w:lvl>
  </w:abstractNum>
  <w:abstractNum w:abstractNumId="17">
    <w:nsid w:val="E77B6467"/>
    <w:multiLevelType w:val="singleLevel"/>
    <w:tmpl w:val="E77B6467"/>
    <w:lvl w:ilvl="0" w:tentative="0">
      <w:start w:val="1"/>
      <w:numFmt w:val="decimal"/>
      <w:lvlText w:val="(%1)"/>
      <w:lvlJc w:val="left"/>
      <w:pPr>
        <w:tabs>
          <w:tab w:val="left" w:pos="420"/>
        </w:tabs>
        <w:ind w:left="845" w:hanging="425"/>
      </w:pPr>
      <w:rPr>
        <w:rFonts w:hint="default" w:ascii="Times New Roman" w:hAnsi="Times New Roman" w:cs="Times New Roman"/>
        <w:b w:val="0"/>
        <w:bCs w:val="0"/>
        <w:sz w:val="24"/>
        <w:szCs w:val="24"/>
      </w:rPr>
    </w:lvl>
  </w:abstractNum>
  <w:abstractNum w:abstractNumId="18">
    <w:nsid w:val="EDA78BC6"/>
    <w:multiLevelType w:val="singleLevel"/>
    <w:tmpl w:val="EDA78BC6"/>
    <w:lvl w:ilvl="0" w:tentative="0">
      <w:start w:val="1"/>
      <w:numFmt w:val="decimal"/>
      <w:lvlText w:val="%1."/>
      <w:lvlJc w:val="left"/>
      <w:pPr>
        <w:ind w:left="425" w:hanging="425"/>
      </w:pPr>
      <w:rPr>
        <w:rFonts w:hint="default" w:ascii="Times New Roman" w:hAnsi="Times New Roman" w:cs="Times New Roman"/>
        <w:b w:val="0"/>
        <w:bCs w:val="0"/>
        <w:i w:val="0"/>
        <w:iCs w:val="0"/>
        <w:sz w:val="24"/>
        <w:szCs w:val="24"/>
      </w:rPr>
    </w:lvl>
  </w:abstractNum>
  <w:abstractNum w:abstractNumId="19">
    <w:nsid w:val="F71F17A5"/>
    <w:multiLevelType w:val="singleLevel"/>
    <w:tmpl w:val="F71F17A5"/>
    <w:lvl w:ilvl="0" w:tentative="0">
      <w:start w:val="1"/>
      <w:numFmt w:val="decimal"/>
      <w:lvlText w:val="%1."/>
      <w:lvlJc w:val="left"/>
      <w:pPr>
        <w:ind w:left="425" w:hanging="425"/>
      </w:pPr>
      <w:rPr>
        <w:rFonts w:hint="default" w:ascii="Times New Roman" w:hAnsi="Times New Roman" w:cs="Times New Roman"/>
        <w:color w:val="auto"/>
        <w:highlight w:val="none"/>
      </w:rPr>
    </w:lvl>
  </w:abstractNum>
  <w:abstractNum w:abstractNumId="20">
    <w:nsid w:val="FDF15A3A"/>
    <w:multiLevelType w:val="singleLevel"/>
    <w:tmpl w:val="FDF15A3A"/>
    <w:lvl w:ilvl="0" w:tentative="0">
      <w:start w:val="1"/>
      <w:numFmt w:val="decimal"/>
      <w:lvlText w:val="%1."/>
      <w:lvlJc w:val="left"/>
      <w:pPr>
        <w:ind w:left="425" w:hanging="425"/>
      </w:pPr>
      <w:rPr>
        <w:rFonts w:hint="default"/>
        <w:sz w:val="24"/>
        <w:szCs w:val="24"/>
      </w:rPr>
    </w:lvl>
  </w:abstractNum>
  <w:abstractNum w:abstractNumId="21">
    <w:nsid w:val="001171D5"/>
    <w:multiLevelType w:val="singleLevel"/>
    <w:tmpl w:val="001171D5"/>
    <w:lvl w:ilvl="0" w:tentative="0">
      <w:start w:val="1"/>
      <w:numFmt w:val="decimal"/>
      <w:lvlText w:val="%1."/>
      <w:lvlJc w:val="left"/>
      <w:pPr>
        <w:ind w:left="425" w:hanging="425"/>
      </w:pPr>
      <w:rPr>
        <w:rFonts w:hint="default" w:ascii="Times New Roman" w:hAnsi="Times New Roman" w:cs="Times New Roman"/>
        <w:sz w:val="24"/>
        <w:szCs w:val="24"/>
      </w:rPr>
    </w:lvl>
  </w:abstractNum>
  <w:abstractNum w:abstractNumId="22">
    <w:nsid w:val="0262A998"/>
    <w:multiLevelType w:val="singleLevel"/>
    <w:tmpl w:val="0262A998"/>
    <w:lvl w:ilvl="0" w:tentative="0">
      <w:start w:val="1"/>
      <w:numFmt w:val="decimal"/>
      <w:lvlText w:val="(%1)"/>
      <w:lvlJc w:val="left"/>
      <w:pPr>
        <w:tabs>
          <w:tab w:val="left" w:pos="420"/>
        </w:tabs>
        <w:ind w:left="845" w:hanging="425"/>
      </w:pPr>
      <w:rPr>
        <w:rFonts w:hint="default"/>
        <w:sz w:val="24"/>
        <w:szCs w:val="24"/>
      </w:rPr>
    </w:lvl>
  </w:abstractNum>
  <w:abstractNum w:abstractNumId="23">
    <w:nsid w:val="047933AF"/>
    <w:multiLevelType w:val="multilevel"/>
    <w:tmpl w:val="047933AF"/>
    <w:lvl w:ilvl="0" w:tentative="0">
      <w:start w:val="1"/>
      <w:numFmt w:val="decimal"/>
      <w:pStyle w:val="15"/>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78490EB"/>
    <w:multiLevelType w:val="singleLevel"/>
    <w:tmpl w:val="078490EB"/>
    <w:lvl w:ilvl="0" w:tentative="0">
      <w:start w:val="1"/>
      <w:numFmt w:val="decimal"/>
      <w:lvlText w:val="%1."/>
      <w:lvlJc w:val="left"/>
      <w:pPr>
        <w:ind w:left="425" w:hanging="425"/>
      </w:pPr>
      <w:rPr>
        <w:rFonts w:hint="default" w:ascii="Times New Roman" w:hAnsi="Times New Roman" w:cs="Times New Roman"/>
        <w:sz w:val="24"/>
        <w:szCs w:val="24"/>
      </w:rPr>
    </w:lvl>
  </w:abstractNum>
  <w:abstractNum w:abstractNumId="25">
    <w:nsid w:val="2139276E"/>
    <w:multiLevelType w:val="singleLevel"/>
    <w:tmpl w:val="2139276E"/>
    <w:lvl w:ilvl="0" w:tentative="0">
      <w:start w:val="1"/>
      <w:numFmt w:val="decimal"/>
      <w:lvlText w:val="%1."/>
      <w:lvlJc w:val="left"/>
      <w:pPr>
        <w:ind w:left="425" w:hanging="425"/>
      </w:pPr>
      <w:rPr>
        <w:rFonts w:hint="default"/>
      </w:rPr>
    </w:lvl>
  </w:abstractNum>
  <w:abstractNum w:abstractNumId="26">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26837324"/>
    <w:multiLevelType w:val="singleLevel"/>
    <w:tmpl w:val="26837324"/>
    <w:lvl w:ilvl="0" w:tentative="0">
      <w:start w:val="1"/>
      <w:numFmt w:val="decimal"/>
      <w:lvlText w:val="%1."/>
      <w:lvlJc w:val="left"/>
      <w:pPr>
        <w:ind w:left="425" w:hanging="425"/>
      </w:pPr>
      <w:rPr>
        <w:rFonts w:hint="default"/>
      </w:rPr>
    </w:lvl>
  </w:abstractNum>
  <w:abstractNum w:abstractNumId="28">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29">
    <w:nsid w:val="32D71598"/>
    <w:multiLevelType w:val="multilevel"/>
    <w:tmpl w:val="32D71598"/>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default"/>
        <w:i w:val="0"/>
        <w:iCs w:val="0"/>
        <w:sz w:val="28"/>
        <w:szCs w:val="28"/>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0">
    <w:nsid w:val="370589CD"/>
    <w:multiLevelType w:val="singleLevel"/>
    <w:tmpl w:val="370589CD"/>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31">
    <w:nsid w:val="384B9F65"/>
    <w:multiLevelType w:val="singleLevel"/>
    <w:tmpl w:val="384B9F65"/>
    <w:lvl w:ilvl="0" w:tentative="0">
      <w:start w:val="1"/>
      <w:numFmt w:val="decimal"/>
      <w:lvlText w:val="(%1)"/>
      <w:lvlJc w:val="left"/>
      <w:pPr>
        <w:tabs>
          <w:tab w:val="left" w:pos="420"/>
        </w:tabs>
        <w:ind w:left="845" w:hanging="425"/>
      </w:pPr>
      <w:rPr>
        <w:rFonts w:hint="default"/>
      </w:rPr>
    </w:lvl>
  </w:abstractNum>
  <w:abstractNum w:abstractNumId="32">
    <w:nsid w:val="401B841A"/>
    <w:multiLevelType w:val="multilevel"/>
    <w:tmpl w:val="401B841A"/>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3">
    <w:nsid w:val="444F806A"/>
    <w:multiLevelType w:val="singleLevel"/>
    <w:tmpl w:val="444F806A"/>
    <w:lvl w:ilvl="0" w:tentative="0">
      <w:start w:val="1"/>
      <w:numFmt w:val="decimal"/>
      <w:lvlText w:val="%1."/>
      <w:lvlJc w:val="left"/>
      <w:pPr>
        <w:ind w:left="425" w:hanging="425"/>
      </w:pPr>
      <w:rPr>
        <w:rFonts w:hint="default"/>
      </w:rPr>
    </w:lvl>
  </w:abstractNum>
  <w:abstractNum w:abstractNumId="34">
    <w:nsid w:val="6CEFB6F7"/>
    <w:multiLevelType w:val="singleLevel"/>
    <w:tmpl w:val="6CEFB6F7"/>
    <w:lvl w:ilvl="0" w:tentative="0">
      <w:start w:val="1"/>
      <w:numFmt w:val="decimal"/>
      <w:lvlText w:val="%1."/>
      <w:lvlJc w:val="left"/>
      <w:pPr>
        <w:ind w:left="425" w:hanging="425"/>
      </w:pPr>
      <w:rPr>
        <w:rFonts w:hint="default" w:ascii="Times New Roman" w:hAnsi="Times New Roman" w:cs="Times New Roman"/>
        <w:b w:val="0"/>
        <w:bCs w:val="0"/>
        <w:sz w:val="24"/>
        <w:szCs w:val="24"/>
      </w:rPr>
    </w:lvl>
  </w:abstractNum>
  <w:abstractNum w:abstractNumId="35">
    <w:nsid w:val="7015A0CD"/>
    <w:multiLevelType w:val="singleLevel"/>
    <w:tmpl w:val="7015A0CD"/>
    <w:lvl w:ilvl="0" w:tentative="0">
      <w:start w:val="1"/>
      <w:numFmt w:val="decimal"/>
      <w:lvlText w:val="(%1)"/>
      <w:lvlJc w:val="left"/>
      <w:pPr>
        <w:tabs>
          <w:tab w:val="left" w:pos="420"/>
        </w:tabs>
        <w:ind w:left="845" w:hanging="425"/>
      </w:pPr>
      <w:rPr>
        <w:rFonts w:hint="default"/>
        <w:color w:val="000000" w:themeColor="text1"/>
        <w:sz w:val="24"/>
        <w:szCs w:val="24"/>
        <w14:textFill>
          <w14:solidFill>
            <w14:schemeClr w14:val="tx1"/>
          </w14:solidFill>
        </w14:textFill>
      </w:rPr>
    </w:lvl>
  </w:abstractNum>
  <w:abstractNum w:abstractNumId="36">
    <w:nsid w:val="709E9F86"/>
    <w:multiLevelType w:val="singleLevel"/>
    <w:tmpl w:val="709E9F86"/>
    <w:lvl w:ilvl="0" w:tentative="0">
      <w:start w:val="1"/>
      <w:numFmt w:val="decimal"/>
      <w:lvlText w:val="%1."/>
      <w:lvlJc w:val="left"/>
      <w:pPr>
        <w:ind w:left="425" w:hanging="425"/>
      </w:pPr>
      <w:rPr>
        <w:rFonts w:hint="default"/>
      </w:rPr>
    </w:lvl>
  </w:abstractNum>
  <w:num w:numId="1">
    <w:abstractNumId w:val="29"/>
  </w:num>
  <w:num w:numId="2">
    <w:abstractNumId w:val="23"/>
  </w:num>
  <w:num w:numId="3">
    <w:abstractNumId w:val="26"/>
  </w:num>
  <w:num w:numId="4">
    <w:abstractNumId w:val="0"/>
  </w:num>
  <w:num w:numId="5">
    <w:abstractNumId w:val="20"/>
  </w:num>
  <w:num w:numId="6">
    <w:abstractNumId w:val="9"/>
  </w:num>
  <w:num w:numId="7">
    <w:abstractNumId w:val="12"/>
  </w:num>
  <w:num w:numId="8">
    <w:abstractNumId w:val="14"/>
  </w:num>
  <w:num w:numId="9">
    <w:abstractNumId w:val="3"/>
  </w:num>
  <w:num w:numId="10">
    <w:abstractNumId w:val="21"/>
  </w:num>
  <w:num w:numId="11">
    <w:abstractNumId w:val="34"/>
  </w:num>
  <w:num w:numId="12">
    <w:abstractNumId w:val="2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6"/>
  </w:num>
  <w:num w:numId="16">
    <w:abstractNumId w:val="18"/>
  </w:num>
  <w:num w:numId="17">
    <w:abstractNumId w:val="6"/>
  </w:num>
  <w:num w:numId="18">
    <w:abstractNumId w:val="15"/>
  </w:num>
  <w:num w:numId="19">
    <w:abstractNumId w:val="2"/>
  </w:num>
  <w:num w:numId="20">
    <w:abstractNumId w:val="33"/>
  </w:num>
  <w:num w:numId="21">
    <w:abstractNumId w:val="28"/>
  </w:num>
  <w:num w:numId="22">
    <w:abstractNumId w:val="11"/>
  </w:num>
  <w:num w:numId="23">
    <w:abstractNumId w:val="10"/>
  </w:num>
  <w:num w:numId="24">
    <w:abstractNumId w:val="8"/>
  </w:num>
  <w:num w:numId="25">
    <w:abstractNumId w:val="16"/>
  </w:num>
  <w:num w:numId="26">
    <w:abstractNumId w:val="27"/>
  </w:num>
  <w:num w:numId="27">
    <w:abstractNumId w:val="17"/>
  </w:num>
  <w:num w:numId="28">
    <w:abstractNumId w:val="30"/>
  </w:num>
  <w:num w:numId="29">
    <w:abstractNumId w:val="22"/>
  </w:num>
  <w:num w:numId="30">
    <w:abstractNumId w:val="35"/>
  </w:num>
  <w:num w:numId="31">
    <w:abstractNumId w:val="7"/>
  </w:num>
  <w:num w:numId="32">
    <w:abstractNumId w:val="19"/>
  </w:num>
  <w:num w:numId="33">
    <w:abstractNumId w:val="4"/>
  </w:num>
  <w:num w:numId="34">
    <w:abstractNumId w:val="31"/>
  </w:num>
  <w:num w:numId="35">
    <w:abstractNumId w:val="1"/>
  </w:num>
  <w:num w:numId="36">
    <w:abstractNumId w:val="13"/>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NGI0YjIyZDU4ZDBiYmZlNGQ3ODcwMWU5NGJhMGQifQ=="/>
  </w:docVars>
  <w:rsids>
    <w:rsidRoot w:val="00000000"/>
    <w:rsid w:val="007256D8"/>
    <w:rsid w:val="00F8428D"/>
    <w:rsid w:val="01273E3B"/>
    <w:rsid w:val="019B3879"/>
    <w:rsid w:val="0213766F"/>
    <w:rsid w:val="02411159"/>
    <w:rsid w:val="025B7E7E"/>
    <w:rsid w:val="026106C4"/>
    <w:rsid w:val="02BC6F2C"/>
    <w:rsid w:val="02DB6352"/>
    <w:rsid w:val="02F15A49"/>
    <w:rsid w:val="02F474A0"/>
    <w:rsid w:val="030376E3"/>
    <w:rsid w:val="03045CB8"/>
    <w:rsid w:val="0385459C"/>
    <w:rsid w:val="039856CE"/>
    <w:rsid w:val="03F84D6E"/>
    <w:rsid w:val="0466617C"/>
    <w:rsid w:val="04A0155B"/>
    <w:rsid w:val="050634BB"/>
    <w:rsid w:val="05214592"/>
    <w:rsid w:val="053E05ED"/>
    <w:rsid w:val="059A3B3C"/>
    <w:rsid w:val="059C373C"/>
    <w:rsid w:val="05C649F8"/>
    <w:rsid w:val="05D728EE"/>
    <w:rsid w:val="05EB3FC5"/>
    <w:rsid w:val="05FB6F31"/>
    <w:rsid w:val="061A6F88"/>
    <w:rsid w:val="06262826"/>
    <w:rsid w:val="06B74E72"/>
    <w:rsid w:val="06F9344F"/>
    <w:rsid w:val="079F5ED6"/>
    <w:rsid w:val="07CC1ED0"/>
    <w:rsid w:val="07DE24CD"/>
    <w:rsid w:val="07EC26E1"/>
    <w:rsid w:val="07F863A6"/>
    <w:rsid w:val="08964B56"/>
    <w:rsid w:val="08A0788D"/>
    <w:rsid w:val="08B60D54"/>
    <w:rsid w:val="08DD4532"/>
    <w:rsid w:val="091837BC"/>
    <w:rsid w:val="0926237D"/>
    <w:rsid w:val="09A3577C"/>
    <w:rsid w:val="0A243FB0"/>
    <w:rsid w:val="0A2F7010"/>
    <w:rsid w:val="0A5C215A"/>
    <w:rsid w:val="0AB8072D"/>
    <w:rsid w:val="0AD61B81"/>
    <w:rsid w:val="0AFD0EBC"/>
    <w:rsid w:val="0B3465A6"/>
    <w:rsid w:val="0B3D750A"/>
    <w:rsid w:val="0B64718D"/>
    <w:rsid w:val="0B8E7D66"/>
    <w:rsid w:val="0BB377CC"/>
    <w:rsid w:val="0BB9501C"/>
    <w:rsid w:val="0BD848FB"/>
    <w:rsid w:val="0C4219C8"/>
    <w:rsid w:val="0C594818"/>
    <w:rsid w:val="0C5F7F8E"/>
    <w:rsid w:val="0C6649C2"/>
    <w:rsid w:val="0C7077E3"/>
    <w:rsid w:val="0C8A7DF1"/>
    <w:rsid w:val="0DB937C0"/>
    <w:rsid w:val="0DF108BC"/>
    <w:rsid w:val="0E596F18"/>
    <w:rsid w:val="0E9B0BEE"/>
    <w:rsid w:val="0F4D5DDE"/>
    <w:rsid w:val="0F600071"/>
    <w:rsid w:val="0FD3523D"/>
    <w:rsid w:val="0FDC2E8C"/>
    <w:rsid w:val="10702130"/>
    <w:rsid w:val="10DA7D81"/>
    <w:rsid w:val="10F20D97"/>
    <w:rsid w:val="112C24FB"/>
    <w:rsid w:val="113F222E"/>
    <w:rsid w:val="11743668"/>
    <w:rsid w:val="118440E5"/>
    <w:rsid w:val="118934A9"/>
    <w:rsid w:val="11D61598"/>
    <w:rsid w:val="120506DE"/>
    <w:rsid w:val="120E5CA1"/>
    <w:rsid w:val="124F64A1"/>
    <w:rsid w:val="129E65FD"/>
    <w:rsid w:val="12B94041"/>
    <w:rsid w:val="12C31D35"/>
    <w:rsid w:val="12DE6E2F"/>
    <w:rsid w:val="12ED0C16"/>
    <w:rsid w:val="13615C6C"/>
    <w:rsid w:val="13D8078E"/>
    <w:rsid w:val="145B10EE"/>
    <w:rsid w:val="14977C8B"/>
    <w:rsid w:val="14DA7CAE"/>
    <w:rsid w:val="14F80546"/>
    <w:rsid w:val="1548169E"/>
    <w:rsid w:val="155B6F0B"/>
    <w:rsid w:val="15973978"/>
    <w:rsid w:val="15A90C96"/>
    <w:rsid w:val="15B212D2"/>
    <w:rsid w:val="15B900D5"/>
    <w:rsid w:val="15DE56D0"/>
    <w:rsid w:val="165305B2"/>
    <w:rsid w:val="16546478"/>
    <w:rsid w:val="16FC29C4"/>
    <w:rsid w:val="17CB05F3"/>
    <w:rsid w:val="18452129"/>
    <w:rsid w:val="1894253D"/>
    <w:rsid w:val="189C4C61"/>
    <w:rsid w:val="19C21C4E"/>
    <w:rsid w:val="1A085187"/>
    <w:rsid w:val="1A166F21"/>
    <w:rsid w:val="1A3366A8"/>
    <w:rsid w:val="1B9C19EA"/>
    <w:rsid w:val="1BF4109B"/>
    <w:rsid w:val="1C36341E"/>
    <w:rsid w:val="1D152095"/>
    <w:rsid w:val="1DA022A7"/>
    <w:rsid w:val="1DE1641B"/>
    <w:rsid w:val="1EF232D1"/>
    <w:rsid w:val="1EF85437"/>
    <w:rsid w:val="1F0A2A78"/>
    <w:rsid w:val="1F195869"/>
    <w:rsid w:val="1F5B3666"/>
    <w:rsid w:val="1F6C01BD"/>
    <w:rsid w:val="1FA834FD"/>
    <w:rsid w:val="1FEE1FD4"/>
    <w:rsid w:val="2020181C"/>
    <w:rsid w:val="203F2F32"/>
    <w:rsid w:val="20A57A23"/>
    <w:rsid w:val="21283577"/>
    <w:rsid w:val="213F79BD"/>
    <w:rsid w:val="218D0E50"/>
    <w:rsid w:val="223013B2"/>
    <w:rsid w:val="2279327B"/>
    <w:rsid w:val="227C4964"/>
    <w:rsid w:val="228A52D3"/>
    <w:rsid w:val="22A04AF7"/>
    <w:rsid w:val="22C33DF0"/>
    <w:rsid w:val="231D324D"/>
    <w:rsid w:val="23DD7177"/>
    <w:rsid w:val="24226A4A"/>
    <w:rsid w:val="2492221D"/>
    <w:rsid w:val="24F24FEE"/>
    <w:rsid w:val="2511775C"/>
    <w:rsid w:val="25551BC9"/>
    <w:rsid w:val="255E30DE"/>
    <w:rsid w:val="25711518"/>
    <w:rsid w:val="26C568DA"/>
    <w:rsid w:val="27867EC6"/>
    <w:rsid w:val="27EB2370"/>
    <w:rsid w:val="281D3443"/>
    <w:rsid w:val="285F2236"/>
    <w:rsid w:val="2A0B4F8D"/>
    <w:rsid w:val="2A0B61F2"/>
    <w:rsid w:val="2A202A0F"/>
    <w:rsid w:val="2AC1385C"/>
    <w:rsid w:val="2B18774E"/>
    <w:rsid w:val="2BA57FF0"/>
    <w:rsid w:val="2BFF63EA"/>
    <w:rsid w:val="2C8E6CA9"/>
    <w:rsid w:val="2CCE31D2"/>
    <w:rsid w:val="2D984D48"/>
    <w:rsid w:val="2DC07A83"/>
    <w:rsid w:val="2E141EF5"/>
    <w:rsid w:val="2E496043"/>
    <w:rsid w:val="2E5C32EB"/>
    <w:rsid w:val="2E6F0050"/>
    <w:rsid w:val="2E764972"/>
    <w:rsid w:val="2E905A1F"/>
    <w:rsid w:val="2EEA2F03"/>
    <w:rsid w:val="2F2616D7"/>
    <w:rsid w:val="2F4F7441"/>
    <w:rsid w:val="2FAB43B4"/>
    <w:rsid w:val="2FB579C7"/>
    <w:rsid w:val="3013343D"/>
    <w:rsid w:val="304F63CF"/>
    <w:rsid w:val="30711881"/>
    <w:rsid w:val="307A1F74"/>
    <w:rsid w:val="30850E88"/>
    <w:rsid w:val="3104250D"/>
    <w:rsid w:val="3148438F"/>
    <w:rsid w:val="3163258B"/>
    <w:rsid w:val="319F5F79"/>
    <w:rsid w:val="326B7E02"/>
    <w:rsid w:val="32FF4F22"/>
    <w:rsid w:val="3345384E"/>
    <w:rsid w:val="33A45A46"/>
    <w:rsid w:val="33D34C71"/>
    <w:rsid w:val="34777CE2"/>
    <w:rsid w:val="34A75871"/>
    <w:rsid w:val="34C46423"/>
    <w:rsid w:val="351E50D1"/>
    <w:rsid w:val="35251912"/>
    <w:rsid w:val="35BC70FA"/>
    <w:rsid w:val="35C42453"/>
    <w:rsid w:val="36183502"/>
    <w:rsid w:val="36687282"/>
    <w:rsid w:val="37AA4C1A"/>
    <w:rsid w:val="384C25B1"/>
    <w:rsid w:val="38617CAB"/>
    <w:rsid w:val="39C57883"/>
    <w:rsid w:val="39FF69C5"/>
    <w:rsid w:val="3A80103E"/>
    <w:rsid w:val="3A86417A"/>
    <w:rsid w:val="3AFF6407"/>
    <w:rsid w:val="3B070FC8"/>
    <w:rsid w:val="3B134A1E"/>
    <w:rsid w:val="3B2B37AE"/>
    <w:rsid w:val="3B8F1FE2"/>
    <w:rsid w:val="3B9259C0"/>
    <w:rsid w:val="3BE6503C"/>
    <w:rsid w:val="3CF43EAD"/>
    <w:rsid w:val="3D2E7899"/>
    <w:rsid w:val="3D494544"/>
    <w:rsid w:val="3D497FDD"/>
    <w:rsid w:val="3DC90D6A"/>
    <w:rsid w:val="3DE75487"/>
    <w:rsid w:val="3DEB454B"/>
    <w:rsid w:val="3EBA7414"/>
    <w:rsid w:val="3EBB63A3"/>
    <w:rsid w:val="3EF06066"/>
    <w:rsid w:val="3F4F492A"/>
    <w:rsid w:val="3F712F09"/>
    <w:rsid w:val="3F8C20F5"/>
    <w:rsid w:val="3FC574F3"/>
    <w:rsid w:val="404A3387"/>
    <w:rsid w:val="40703E67"/>
    <w:rsid w:val="409619DD"/>
    <w:rsid w:val="40FC7A22"/>
    <w:rsid w:val="41023096"/>
    <w:rsid w:val="416729BB"/>
    <w:rsid w:val="41807B75"/>
    <w:rsid w:val="41854851"/>
    <w:rsid w:val="41BF5E34"/>
    <w:rsid w:val="42075BA1"/>
    <w:rsid w:val="421F113C"/>
    <w:rsid w:val="424515CA"/>
    <w:rsid w:val="426052B1"/>
    <w:rsid w:val="42A778B9"/>
    <w:rsid w:val="42BC0C0E"/>
    <w:rsid w:val="42C115C8"/>
    <w:rsid w:val="42D57A4D"/>
    <w:rsid w:val="42F519CE"/>
    <w:rsid w:val="43274DD5"/>
    <w:rsid w:val="433F4FDC"/>
    <w:rsid w:val="434D1CD9"/>
    <w:rsid w:val="439D0AC1"/>
    <w:rsid w:val="43CE5F83"/>
    <w:rsid w:val="44727FC9"/>
    <w:rsid w:val="447D40A7"/>
    <w:rsid w:val="44CF4FA2"/>
    <w:rsid w:val="454A1AE0"/>
    <w:rsid w:val="45534CCD"/>
    <w:rsid w:val="458B70C4"/>
    <w:rsid w:val="459667BD"/>
    <w:rsid w:val="45B778DE"/>
    <w:rsid w:val="463616F2"/>
    <w:rsid w:val="464E341B"/>
    <w:rsid w:val="46954459"/>
    <w:rsid w:val="46987301"/>
    <w:rsid w:val="46C93299"/>
    <w:rsid w:val="46F04E55"/>
    <w:rsid w:val="471B1570"/>
    <w:rsid w:val="4779484C"/>
    <w:rsid w:val="479B5ECC"/>
    <w:rsid w:val="47BC567F"/>
    <w:rsid w:val="484440CC"/>
    <w:rsid w:val="48D93A13"/>
    <w:rsid w:val="48E1779E"/>
    <w:rsid w:val="49240008"/>
    <w:rsid w:val="493279A7"/>
    <w:rsid w:val="49624644"/>
    <w:rsid w:val="49883CC5"/>
    <w:rsid w:val="49941F24"/>
    <w:rsid w:val="49ED38CE"/>
    <w:rsid w:val="4A362EA9"/>
    <w:rsid w:val="4A412C94"/>
    <w:rsid w:val="4AC76815"/>
    <w:rsid w:val="4AD827D0"/>
    <w:rsid w:val="4AE40A60"/>
    <w:rsid w:val="4B4B41DB"/>
    <w:rsid w:val="4BFD21B6"/>
    <w:rsid w:val="4CBB28BC"/>
    <w:rsid w:val="4CEE2A3C"/>
    <w:rsid w:val="4CF74DF1"/>
    <w:rsid w:val="4D163C3E"/>
    <w:rsid w:val="4D1D265B"/>
    <w:rsid w:val="4D4E01EA"/>
    <w:rsid w:val="4D7C105A"/>
    <w:rsid w:val="4DB304D7"/>
    <w:rsid w:val="4EAC1FAA"/>
    <w:rsid w:val="4FAF0E71"/>
    <w:rsid w:val="508927CE"/>
    <w:rsid w:val="50BF52B7"/>
    <w:rsid w:val="50C96CF3"/>
    <w:rsid w:val="512C73D2"/>
    <w:rsid w:val="5151220A"/>
    <w:rsid w:val="51BC69A8"/>
    <w:rsid w:val="51E732F9"/>
    <w:rsid w:val="525564B4"/>
    <w:rsid w:val="52781559"/>
    <w:rsid w:val="528767A6"/>
    <w:rsid w:val="52F932E4"/>
    <w:rsid w:val="531B2103"/>
    <w:rsid w:val="543851AD"/>
    <w:rsid w:val="543A1E06"/>
    <w:rsid w:val="54831E37"/>
    <w:rsid w:val="549F173E"/>
    <w:rsid w:val="550614EE"/>
    <w:rsid w:val="552A3C28"/>
    <w:rsid w:val="5536601F"/>
    <w:rsid w:val="55FF3167"/>
    <w:rsid w:val="566E223B"/>
    <w:rsid w:val="5729257C"/>
    <w:rsid w:val="574F7976"/>
    <w:rsid w:val="5815308E"/>
    <w:rsid w:val="581B0800"/>
    <w:rsid w:val="581E5EEA"/>
    <w:rsid w:val="58627B7D"/>
    <w:rsid w:val="587E07BE"/>
    <w:rsid w:val="588A01CF"/>
    <w:rsid w:val="589C4E3D"/>
    <w:rsid w:val="58FC2CF1"/>
    <w:rsid w:val="59637709"/>
    <w:rsid w:val="5990437C"/>
    <w:rsid w:val="5A2C3F9F"/>
    <w:rsid w:val="5A2E5F69"/>
    <w:rsid w:val="5A7A601D"/>
    <w:rsid w:val="5AC671DB"/>
    <w:rsid w:val="5AFB3C21"/>
    <w:rsid w:val="5B115748"/>
    <w:rsid w:val="5B2D7AB3"/>
    <w:rsid w:val="5B3F7D02"/>
    <w:rsid w:val="5C5C0E94"/>
    <w:rsid w:val="5C5C1331"/>
    <w:rsid w:val="5C7211A8"/>
    <w:rsid w:val="5C96182F"/>
    <w:rsid w:val="5CA778E0"/>
    <w:rsid w:val="5CB10C77"/>
    <w:rsid w:val="5CC934CD"/>
    <w:rsid w:val="5CE9174A"/>
    <w:rsid w:val="5D0B433F"/>
    <w:rsid w:val="5D79219C"/>
    <w:rsid w:val="5DAF73C1"/>
    <w:rsid w:val="5E2928CC"/>
    <w:rsid w:val="5E425F09"/>
    <w:rsid w:val="5ED12224"/>
    <w:rsid w:val="5ED2780B"/>
    <w:rsid w:val="5EE17A4E"/>
    <w:rsid w:val="5EE27322"/>
    <w:rsid w:val="5F131BD1"/>
    <w:rsid w:val="604364E6"/>
    <w:rsid w:val="60BD1C95"/>
    <w:rsid w:val="620852FA"/>
    <w:rsid w:val="62486413"/>
    <w:rsid w:val="62CE6747"/>
    <w:rsid w:val="6311467A"/>
    <w:rsid w:val="63520F1A"/>
    <w:rsid w:val="638135AD"/>
    <w:rsid w:val="63C72943"/>
    <w:rsid w:val="63CD67F3"/>
    <w:rsid w:val="649E4FF6"/>
    <w:rsid w:val="6563304C"/>
    <w:rsid w:val="656C5937"/>
    <w:rsid w:val="65827A2A"/>
    <w:rsid w:val="67B10EDE"/>
    <w:rsid w:val="68201038"/>
    <w:rsid w:val="68565992"/>
    <w:rsid w:val="68D61B92"/>
    <w:rsid w:val="690A6345"/>
    <w:rsid w:val="690D0A0C"/>
    <w:rsid w:val="6A974F0E"/>
    <w:rsid w:val="6A9C0CCD"/>
    <w:rsid w:val="6AAE53DB"/>
    <w:rsid w:val="6B064398"/>
    <w:rsid w:val="6B3E1D84"/>
    <w:rsid w:val="6BFB6DB8"/>
    <w:rsid w:val="6C711C27"/>
    <w:rsid w:val="6C72573A"/>
    <w:rsid w:val="6D071C2E"/>
    <w:rsid w:val="6D6261FE"/>
    <w:rsid w:val="6DC96FAF"/>
    <w:rsid w:val="6E0127B0"/>
    <w:rsid w:val="6E222AF0"/>
    <w:rsid w:val="6E494CC8"/>
    <w:rsid w:val="6E50004F"/>
    <w:rsid w:val="6E795D9A"/>
    <w:rsid w:val="6E940155"/>
    <w:rsid w:val="6EC13D39"/>
    <w:rsid w:val="6F076528"/>
    <w:rsid w:val="6F3E1611"/>
    <w:rsid w:val="6F556B4C"/>
    <w:rsid w:val="6F810B92"/>
    <w:rsid w:val="6F854443"/>
    <w:rsid w:val="702267B1"/>
    <w:rsid w:val="702D7525"/>
    <w:rsid w:val="70956D9D"/>
    <w:rsid w:val="70A46C08"/>
    <w:rsid w:val="71280976"/>
    <w:rsid w:val="71450956"/>
    <w:rsid w:val="71755DD4"/>
    <w:rsid w:val="718A18F9"/>
    <w:rsid w:val="7305449F"/>
    <w:rsid w:val="736519FB"/>
    <w:rsid w:val="73D634A1"/>
    <w:rsid w:val="744639CC"/>
    <w:rsid w:val="748702F8"/>
    <w:rsid w:val="74B529DF"/>
    <w:rsid w:val="74BC3B37"/>
    <w:rsid w:val="75DF38FA"/>
    <w:rsid w:val="764B7DA3"/>
    <w:rsid w:val="76612972"/>
    <w:rsid w:val="76AD2208"/>
    <w:rsid w:val="76E43A77"/>
    <w:rsid w:val="772571F2"/>
    <w:rsid w:val="77463171"/>
    <w:rsid w:val="77B91682"/>
    <w:rsid w:val="780C2DEC"/>
    <w:rsid w:val="782013CC"/>
    <w:rsid w:val="78627CF8"/>
    <w:rsid w:val="78703A71"/>
    <w:rsid w:val="78AE5CFE"/>
    <w:rsid w:val="78CC5E92"/>
    <w:rsid w:val="78D5790C"/>
    <w:rsid w:val="78E9549E"/>
    <w:rsid w:val="78F4247E"/>
    <w:rsid w:val="79291C4C"/>
    <w:rsid w:val="79673F3D"/>
    <w:rsid w:val="79EF4DA6"/>
    <w:rsid w:val="7A543BB5"/>
    <w:rsid w:val="7A613399"/>
    <w:rsid w:val="7AFA2F2B"/>
    <w:rsid w:val="7CBF65FE"/>
    <w:rsid w:val="7CF74440"/>
    <w:rsid w:val="7D121F3E"/>
    <w:rsid w:val="7D38005E"/>
    <w:rsid w:val="7D5A7A8B"/>
    <w:rsid w:val="7D9F4904"/>
    <w:rsid w:val="7E1F77F3"/>
    <w:rsid w:val="7E5C22A5"/>
    <w:rsid w:val="7E5D7B42"/>
    <w:rsid w:val="7E6478FC"/>
    <w:rsid w:val="7E7062A0"/>
    <w:rsid w:val="7E7A711F"/>
    <w:rsid w:val="7EB037B2"/>
    <w:rsid w:val="7ED33124"/>
    <w:rsid w:val="7EE03046"/>
    <w:rsid w:val="7EFD26E2"/>
    <w:rsid w:val="7F2F76E5"/>
    <w:rsid w:val="7F48432B"/>
    <w:rsid w:val="7F5C116A"/>
    <w:rsid w:val="7F670538"/>
    <w:rsid w:val="7FCE01BF"/>
    <w:rsid w:val="7FE2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numPr>
        <w:ilvl w:val="0"/>
        <w:numId w:val="1"/>
      </w:numPr>
      <w:tabs>
        <w:tab w:val="right" w:leader="dot" w:pos="9061"/>
      </w:tabs>
      <w:spacing w:line="360" w:lineRule="auto"/>
      <w:jc w:val="center"/>
      <w:outlineLvl w:val="0"/>
    </w:pPr>
    <w:rPr>
      <w:b/>
      <w:iCs/>
      <w:sz w:val="36"/>
      <w:szCs w:val="20"/>
    </w:rPr>
  </w:style>
  <w:style w:type="paragraph" w:styleId="3">
    <w:name w:val="heading 2"/>
    <w:basedOn w:val="1"/>
    <w:next w:val="1"/>
    <w:link w:val="22"/>
    <w:qFormat/>
    <w:uiPriority w:val="0"/>
    <w:pPr>
      <w:numPr>
        <w:ilvl w:val="1"/>
        <w:numId w:val="1"/>
      </w:numPr>
      <w:spacing w:before="50" w:beforeLines="50"/>
      <w:outlineLvl w:val="1"/>
    </w:pPr>
    <w:rPr>
      <w:b/>
    </w:rPr>
  </w:style>
  <w:style w:type="paragraph" w:styleId="4">
    <w:name w:val="heading 3"/>
    <w:basedOn w:val="1"/>
    <w:next w:val="1"/>
    <w:link w:val="25"/>
    <w:qFormat/>
    <w:uiPriority w:val="99"/>
    <w:pPr>
      <w:keepNext/>
      <w:keepLines/>
      <w:numPr>
        <w:ilvl w:val="2"/>
        <w:numId w:val="1"/>
      </w:numPr>
      <w:spacing w:line="360" w:lineRule="auto"/>
      <w:ind w:left="0" w:firstLine="200" w:firstLineChars="200"/>
      <w:jc w:val="left"/>
      <w:outlineLvl w:val="2"/>
    </w:pPr>
    <w:rPr>
      <w:bCs/>
      <w:kern w:val="0"/>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List 3"/>
    <w:basedOn w:val="1"/>
    <w:qFormat/>
    <w:uiPriority w:val="99"/>
    <w:pPr>
      <w:ind w:left="100" w:leftChars="400" w:hanging="200" w:hangingChars="200"/>
    </w:p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Plain Text"/>
    <w:basedOn w:val="1"/>
    <w:qFormat/>
    <w:uiPriority w:val="0"/>
    <w:rPr>
      <w:rFonts w:ascii="宋体" w:hAnsi="Courier New"/>
      <w:kern w:val="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b/>
      <w:bCs/>
      <w:caps/>
      <w:sz w:val="24"/>
      <w:szCs w:val="20"/>
    </w:rPr>
  </w:style>
  <w:style w:type="paragraph" w:styleId="13">
    <w:name w:val="toc 2"/>
    <w:basedOn w:val="1"/>
    <w:next w:val="1"/>
    <w:qFormat/>
    <w:uiPriority w:val="39"/>
    <w:pPr>
      <w:spacing w:line="360" w:lineRule="auto"/>
      <w:ind w:left="210"/>
      <w:jc w:val="left"/>
    </w:pPr>
    <w:rPr>
      <w:smallCaps/>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numPr>
        <w:ilvl w:val="0"/>
        <w:numId w:val="2"/>
      </w:numPr>
      <w:spacing w:before="240" w:after="60" w:line="276" w:lineRule="auto"/>
      <w:jc w:val="center"/>
      <w:outlineLvl w:val="0"/>
    </w:pPr>
    <w:rPr>
      <w:b/>
      <w:bCs/>
      <w:kern w:val="0"/>
      <w:sz w:val="32"/>
      <w:szCs w:val="32"/>
    </w:rPr>
  </w:style>
  <w:style w:type="character" w:styleId="18">
    <w:name w:val="Hyperlink"/>
    <w:qFormat/>
    <w:uiPriority w:val="99"/>
    <w:rPr>
      <w:rFonts w:cs="Times New Roman"/>
      <w:color w:val="1F4F88"/>
      <w:u w:val="none"/>
    </w:rPr>
  </w:style>
  <w:style w:type="paragraph" w:styleId="19">
    <w:name w:val="List Paragraph"/>
    <w:basedOn w:val="1"/>
    <w:qFormat/>
    <w:uiPriority w:val="99"/>
    <w:pPr>
      <w:ind w:firstLine="420" w:firstLineChars="200"/>
    </w:pPr>
    <w:rPr>
      <w:szCs w:val="24"/>
    </w:rPr>
  </w:style>
  <w:style w:type="paragraph" w:customStyle="1" w:styleId="20">
    <w:name w:val="正文（缩进）"/>
    <w:basedOn w:val="1"/>
    <w:semiHidden/>
    <w:qFormat/>
    <w:uiPriority w:val="99"/>
    <w:pPr>
      <w:spacing w:beforeLines="50" w:afterLines="50" w:line="360" w:lineRule="auto"/>
      <w:ind w:firstLine="480" w:firstLineChars="200"/>
    </w:pPr>
    <w:rPr>
      <w:kern w:val="0"/>
      <w:sz w:val="24"/>
      <w:szCs w:val="20"/>
    </w:rPr>
  </w:style>
  <w:style w:type="paragraph" w:customStyle="1" w:styleId="21">
    <w:name w:val="标书正文格式"/>
    <w:basedOn w:val="9"/>
    <w:qFormat/>
    <w:uiPriority w:val="0"/>
    <w:pPr>
      <w:spacing w:line="360" w:lineRule="auto"/>
      <w:ind w:firstLine="200" w:firstLineChars="200"/>
    </w:pPr>
    <w:rPr>
      <w:rFonts w:hAnsi="宋体"/>
      <w:color w:val="000000"/>
      <w:sz w:val="24"/>
      <w:szCs w:val="24"/>
    </w:rPr>
  </w:style>
  <w:style w:type="character" w:customStyle="1" w:styleId="22">
    <w:name w:val="标题 2 字符"/>
    <w:link w:val="3"/>
    <w:qFormat/>
    <w:locked/>
    <w:uiPriority w:val="0"/>
    <w:rPr>
      <w:b/>
    </w:rPr>
  </w:style>
  <w:style w:type="character" w:customStyle="1" w:styleId="23">
    <w:name w:val="font11"/>
    <w:basedOn w:val="17"/>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7"/>
    <w:qFormat/>
    <w:uiPriority w:val="0"/>
    <w:rPr>
      <w:rFonts w:hint="eastAsia" w:ascii="微软雅黑" w:hAnsi="微软雅黑" w:eastAsia="微软雅黑" w:cs="微软雅黑"/>
      <w:color w:val="000000"/>
      <w:sz w:val="21"/>
      <w:szCs w:val="21"/>
      <w:u w:val="none"/>
    </w:rPr>
  </w:style>
  <w:style w:type="character" w:customStyle="1" w:styleId="25">
    <w:name w:val="标题 3 Char"/>
    <w:link w:val="4"/>
    <w:qFormat/>
    <w:uiPriority w:val="99"/>
    <w:rPr>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4464</Words>
  <Characters>4896</Characters>
  <Lines>0</Lines>
  <Paragraphs>0</Paragraphs>
  <TotalTime>34</TotalTime>
  <ScaleCrop>false</ScaleCrop>
  <LinksUpToDate>false</LinksUpToDate>
  <CharactersWithSpaces>5100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2024-04-02T03:23:00Z</dcterms:created>
  <dc:creator>Lenovo</dc:creator>
  <cp:lastModifiedBy>任双双</cp:lastModifiedBy>
  <dcterms:modified xsi:type="dcterms:W3CDTF">2025-09-28T06:11:59Z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513FCD32A3974D9196F23AE82A5465EC_13</vt:lpwstr>
  </property>
  <property fmtid="{D5CDD505-2E9C-101B-9397-08002B2CF9AE}" pid="4" name="KSOTemplateDocerSaveRecord">
    <vt:lpwstr>eyJoZGlkIjoiMDA3MzgxZDM5Njg1MGY0ZDE1OWQzMzA2ZjczYTJmZjYiLCJ1c2VySWQiOiI3MDU0MTExNzYifQ==</vt:lpwstr>
  </property>
</Properties>
</file>